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1E5" w:rsidRDefault="00DB077C" w:rsidP="00F41449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6AC5B" wp14:editId="585F0064">
                <wp:simplePos x="0" y="0"/>
                <wp:positionH relativeFrom="column">
                  <wp:posOffset>1045183</wp:posOffset>
                </wp:positionH>
                <wp:positionV relativeFrom="paragraph">
                  <wp:posOffset>1988</wp:posOffset>
                </wp:positionV>
                <wp:extent cx="4812030" cy="508958"/>
                <wp:effectExtent l="0" t="0" r="2667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50895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RDefault="00A81A6D" w:rsidP="005B22BE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C84305" w:rsidRPr="00E843C7" w:rsidRDefault="00C84305" w:rsidP="00DB077C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E843C7">
                              <w:rPr>
                                <w:rFonts w:cs="Sultan bold" w:hint="cs"/>
                                <w:rtl/>
                              </w:rPr>
                              <w:t xml:space="preserve">التعليم العام </w:t>
                            </w:r>
                          </w:p>
                          <w:p w:rsidR="00C84305" w:rsidRPr="00E20888" w:rsidRDefault="00C84305" w:rsidP="005B22BE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81A6D" w:rsidRDefault="00A81A6D" w:rsidP="005B2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AC5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2.3pt;margin-top:.15pt;width:378.9pt;height: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" fillcolor="#ededed" strokeweight=".5pt">
                <v:textbox>
                  <w:txbxContent>
                    <w:p w:rsidR="00A81A6D" w:rsidRDefault="00A81A6D" w:rsidP="005B22BE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C84305" w:rsidRPr="00E843C7" w:rsidRDefault="00C84305" w:rsidP="00DB077C">
                      <w:pPr>
                        <w:pStyle w:val="a3"/>
                        <w:jc w:val="center"/>
                        <w:rPr>
                          <w:rFonts w:cs="Sultan bold"/>
                          <w:rtl/>
                        </w:rPr>
                      </w:pPr>
                      <w:r w:rsidRPr="00E843C7">
                        <w:rPr>
                          <w:rFonts w:cs="Sultan bold" w:hint="cs"/>
                          <w:rtl/>
                        </w:rPr>
                        <w:t xml:space="preserve">التعليم العام </w:t>
                      </w:r>
                    </w:p>
                    <w:p w:rsidR="00C84305" w:rsidRPr="00E20888" w:rsidRDefault="00C84305" w:rsidP="005B22BE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</w:p>
                    <w:p w:rsidR="00A81A6D" w:rsidRDefault="00A81A6D" w:rsidP="005B22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81A6D" w:rsidRPr="00A81A6D" w:rsidRDefault="00A81A6D" w:rsidP="00DB077C">
      <w:pPr>
        <w:tabs>
          <w:tab w:val="left" w:pos="2263"/>
        </w:tabs>
        <w:jc w:val="center"/>
        <w:rPr>
          <w:rtl/>
        </w:rPr>
      </w:pPr>
    </w:p>
    <w:tbl>
      <w:tblPr>
        <w:tblpPr w:leftFromText="180" w:rightFromText="180" w:vertAnchor="page" w:horzAnchor="margin" w:tblpY="1612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095"/>
        <w:gridCol w:w="992"/>
        <w:gridCol w:w="722"/>
        <w:gridCol w:w="1668"/>
        <w:gridCol w:w="722"/>
        <w:gridCol w:w="810"/>
        <w:gridCol w:w="1921"/>
      </w:tblGrid>
      <w:tr w:rsidR="00864CD4" w:rsidRPr="009D7E36" w:rsidTr="00864CD4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864CD4" w:rsidRPr="00466DAE" w:rsidRDefault="00864CD4" w:rsidP="00864C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CD4" w:rsidRPr="00466DAE" w:rsidRDefault="00681EA6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A81A6D" w:rsidRPr="009D7E36" w:rsidTr="00864CD4">
        <w:trPr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930" w:type="dxa"/>
            <w:gridSpan w:val="7"/>
            <w:shd w:val="clear" w:color="000000" w:fill="DAEEF3"/>
            <w:noWrap/>
            <w:vAlign w:val="center"/>
            <w:hideMark/>
          </w:tcPr>
          <w:p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365B24" w:rsidRDefault="00365B24" w:rsidP="003E057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C23EEE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6F76CF" w:rsidRDefault="00365B24" w:rsidP="006F76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الوحدة الرابعة: أغلفة كوكب الأرض</w:t>
            </w:r>
          </w:p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العاشر: الغلاف الجوي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EE5C98" w:rsidRDefault="000E75A2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العاشر: الغلاف الجوي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EE5C98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تابع-الدرس</w:t>
            </w:r>
            <w:r w:rsidR="000E75A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العاشر: الغلاف الجوي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365B24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365B24" w:rsidRPr="00466DAE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0E75A2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الدرس الحادي عشر: الطقس والمناخ</w:t>
            </w:r>
          </w:p>
        </w:tc>
      </w:tr>
      <w:tr w:rsidR="00365B24" w:rsidRPr="00466DAE" w:rsidTr="000E75A2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0E75A2" w:rsidP="000E7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الثاني عشر: عناصر الطقس والمناخ</w:t>
            </w:r>
          </w:p>
        </w:tc>
      </w:tr>
      <w:tr w:rsidR="00365B24" w:rsidRPr="00466DAE" w:rsidTr="000E75A2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0E7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0E75A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الثاني عشر: عناصر الطقس والمناخ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365B24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Pr="00C23EEE" w:rsidRDefault="00365B24" w:rsidP="002A65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E82D13" w:rsidRDefault="00E8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 w:rsidRPr="00E82D13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إجازة مطولة: الأحد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  <w:hideMark/>
          </w:tcPr>
          <w:p w:rsidR="00365B24" w:rsidRPr="00C23EEE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عشر: الغلاف الصخري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0E75A2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عشر: الغلاف الصخري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0E75A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عشر: الغلاف الصخري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Pr="000A76C8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عشر: العوامل الداخلية والخارجية لتشكيل سطح الأرض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0E75A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عشر: العوامل الداخلية والخارجية لتشكيل سطح الأرض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0E75A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عشر: العوامل الداخلية والخارجية لتشكيل سطح الأرض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D23FC9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الخامس عشر: الغلاف الحيوي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الخامس عشر: الغلاف الحيوي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الخامس عشر: الغلاف الحيوي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365B24" w:rsidRPr="00D23FC9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 عشر: الأقاليم الحيوية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 عشر: الأقاليم الحيوية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 عشر: الأقاليم الحيوية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D23FC9" w:rsidRDefault="00365B24" w:rsidP="005A63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إجازة مطولة: الأحد والاثنين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  <w:hideMark/>
          </w:tcPr>
          <w:p w:rsidR="00365B24" w:rsidRPr="00D23FC9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الوحدة الخامسة: مجلس التعاون لدول الخليج العربية</w:t>
            </w:r>
          </w:p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 عشر: المظاهر الطبيعية لدول مجلس التعاون لدول الخليج العربية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07A2A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 عشر: المظاهر الطبيعية لدول مجلس التعاون لدول الخليج العربية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07A2A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 عشر: المظاهر الطبيعية لدول مجلس التعاون لدول الخليج العربية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0A76C8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الثامن عشر: المظاهر البشرية 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لدول 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الثامن عشر: المظاهر البشرية </w:t>
            </w:r>
            <w:r w:rsidR="00365B24"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لدول 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الثامن عشر: المظاهر البشرية </w:t>
            </w:r>
            <w:r w:rsidR="00365B24"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لدول مجلس التعاون لدول الخليج العربية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D23FC9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التاسع عشر: تأسيس 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</w:t>
            </w:r>
            <w:r w:rsidR="004D2D1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تابع-الدرس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العشرون: إنجازات 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</w:t>
            </w:r>
            <w:r w:rsidR="004D2D1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تابع-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العشرون: إنجازات 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D23FC9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الدرس الحادي والعشرون: التحديات والمستقبل ل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</w:t>
            </w:r>
            <w:r w:rsidR="004D2D1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تابع-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الحادي والعشرون: التحديات والمستقبل ل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</w:t>
            </w:r>
            <w:r w:rsidR="004D2D1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تابع-الدرس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الحادي والعشرون: التحديات والمستقبل ل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0A76C8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الوحدة السادسة: الأنظمة واللوائح</w:t>
            </w:r>
          </w:p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الثاني والعشرون: مفهوم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A43E11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والعشرون: مجالات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A43E11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والعشرون: مجالات الأنظمة واللوائح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7665ED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D23FC9" w:rsidRDefault="00365B24" w:rsidP="006A005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والعشرون: فوائد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والعشرون: فوائد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4D2D13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تابع-</w:t>
            </w:r>
            <w:r w:rsidR="00365B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والعشرون: فوائد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إجازة يوم التأسيس: الأربعاء والخميس</w:t>
            </w:r>
          </w:p>
        </w:tc>
      </w:tr>
      <w:tr w:rsidR="00A81A6D" w:rsidRPr="00466DAE" w:rsidTr="00CC1158">
        <w:trPr>
          <w:trHeight w:val="1723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A81A6D" w:rsidRPr="00D23FC9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A81A6D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A81A6D" w:rsidRDefault="00244C8B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A81A6D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A81A6D" w:rsidRPr="00D23FC9" w:rsidRDefault="00244C8B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000000" w:fill="FFFFFF"/>
            <w:noWrap/>
            <w:vAlign w:val="center"/>
          </w:tcPr>
          <w:p w:rsidR="00A81A6D" w:rsidRPr="00466DAE" w:rsidRDefault="00824D17" w:rsidP="00824D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نهاية الفصل الدراسي الثاني</w:t>
            </w:r>
          </w:p>
        </w:tc>
      </w:tr>
    </w:tbl>
    <w:p w:rsidR="004D2D13" w:rsidRDefault="004D2D13" w:rsidP="004D2D13">
      <w:pPr>
        <w:jc w:val="right"/>
        <w:rPr>
          <w:rtl/>
        </w:rPr>
      </w:pPr>
    </w:p>
    <w:p w:rsidR="00A81A6D" w:rsidRDefault="004D2D13" w:rsidP="004D2D13">
      <w:pPr>
        <w:jc w:val="right"/>
        <w:rPr>
          <w:rtl/>
        </w:rPr>
      </w:pPr>
      <w:r>
        <w:rPr>
          <w:rFonts w:hint="cs"/>
          <w:rtl/>
        </w:rPr>
        <w:t>عبدالله بن ناصر البكران</w:t>
      </w:r>
    </w:p>
    <w:p w:rsidR="00F174E0" w:rsidRPr="00A81A6D" w:rsidRDefault="00F174E0" w:rsidP="004D2D13">
      <w:pPr>
        <w:jc w:val="right"/>
        <w:rPr>
          <w:rtl/>
        </w:rPr>
      </w:pPr>
      <w:r>
        <w:rPr>
          <w:noProof/>
        </w:rPr>
        <w:drawing>
          <wp:inline distT="0" distB="0" distL="0" distR="0" wp14:anchorId="4A1F65B3" wp14:editId="17961C7A">
            <wp:extent cx="1518285" cy="1057275"/>
            <wp:effectExtent l="0" t="0" r="5715" b="9525"/>
            <wp:docPr id="2" name="صورة 2" descr="C:\Users\a-bakran\Pictures\التوقي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C:\Users\a-bakran\Pictures\التوقي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66AF1"/>
    <w:multiLevelType w:val="hybridMultilevel"/>
    <w:tmpl w:val="4A2CD782"/>
    <w:lvl w:ilvl="0" w:tplc="3B1AA71C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02FA"/>
    <w:multiLevelType w:val="hybridMultilevel"/>
    <w:tmpl w:val="935CC69C"/>
    <w:lvl w:ilvl="0" w:tplc="56C2E1FE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5012">
    <w:abstractNumId w:val="0"/>
  </w:num>
  <w:num w:numId="2" w16cid:durableId="88463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437F6"/>
    <w:rsid w:val="00051776"/>
    <w:rsid w:val="000A76C8"/>
    <w:rsid w:val="000E75A2"/>
    <w:rsid w:val="000E7C8C"/>
    <w:rsid w:val="0012453E"/>
    <w:rsid w:val="002110DE"/>
    <w:rsid w:val="002324CD"/>
    <w:rsid w:val="00244C8B"/>
    <w:rsid w:val="002B45FB"/>
    <w:rsid w:val="00307A2A"/>
    <w:rsid w:val="00313051"/>
    <w:rsid w:val="00365B24"/>
    <w:rsid w:val="003B5DA0"/>
    <w:rsid w:val="003E0574"/>
    <w:rsid w:val="003E6DD3"/>
    <w:rsid w:val="003F4017"/>
    <w:rsid w:val="0042188C"/>
    <w:rsid w:val="00422598"/>
    <w:rsid w:val="00466DAE"/>
    <w:rsid w:val="004A0E3C"/>
    <w:rsid w:val="004D2D13"/>
    <w:rsid w:val="00517280"/>
    <w:rsid w:val="005337D1"/>
    <w:rsid w:val="00552DC4"/>
    <w:rsid w:val="00555ECA"/>
    <w:rsid w:val="00567BA1"/>
    <w:rsid w:val="005B22BE"/>
    <w:rsid w:val="005C510D"/>
    <w:rsid w:val="005D7C03"/>
    <w:rsid w:val="00681EA6"/>
    <w:rsid w:val="006A0054"/>
    <w:rsid w:val="006F76CF"/>
    <w:rsid w:val="00752D98"/>
    <w:rsid w:val="007665ED"/>
    <w:rsid w:val="00787532"/>
    <w:rsid w:val="007919A6"/>
    <w:rsid w:val="007A0568"/>
    <w:rsid w:val="00824D17"/>
    <w:rsid w:val="00837887"/>
    <w:rsid w:val="00864CD4"/>
    <w:rsid w:val="00933758"/>
    <w:rsid w:val="00952306"/>
    <w:rsid w:val="009F3DAB"/>
    <w:rsid w:val="00A00247"/>
    <w:rsid w:val="00A37D6C"/>
    <w:rsid w:val="00A43E11"/>
    <w:rsid w:val="00A81A6D"/>
    <w:rsid w:val="00BD6F7A"/>
    <w:rsid w:val="00C23EEE"/>
    <w:rsid w:val="00C84305"/>
    <w:rsid w:val="00CC1158"/>
    <w:rsid w:val="00CC1DEA"/>
    <w:rsid w:val="00CF1164"/>
    <w:rsid w:val="00D23FC9"/>
    <w:rsid w:val="00D6508F"/>
    <w:rsid w:val="00D72652"/>
    <w:rsid w:val="00D834DA"/>
    <w:rsid w:val="00DB077C"/>
    <w:rsid w:val="00E63ECA"/>
    <w:rsid w:val="00E82D13"/>
    <w:rsid w:val="00E843C7"/>
    <w:rsid w:val="00EE5C98"/>
    <w:rsid w:val="00F174E0"/>
    <w:rsid w:val="00F41449"/>
    <w:rsid w:val="00F551E5"/>
    <w:rsid w:val="00F60AB5"/>
    <w:rsid w:val="00F873D4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List Paragraph"/>
    <w:basedOn w:val="a"/>
    <w:uiPriority w:val="34"/>
    <w:qFormat/>
    <w:rsid w:val="00E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عبدالله البكران</cp:lastModifiedBy>
  <cp:revision>2</cp:revision>
  <cp:lastPrinted>2022-07-21T08:57:00Z</cp:lastPrinted>
  <dcterms:created xsi:type="dcterms:W3CDTF">2022-11-15T07:05:00Z</dcterms:created>
  <dcterms:modified xsi:type="dcterms:W3CDTF">2022-11-15T07:05:00Z</dcterms:modified>
</cp:coreProperties>
</file>