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القبلي-&gt;الرشاقة: الجري المتعرج مسافة 30 م
                <w:br/>
                ‾‾‾‾‾
                <w:br/>
                القياس القبلي-&gt;المرونة: (صندوق المرونة) 
              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القبلي-&gt;التوافق: الجري المتعرج بين أقماع مع تنطيط الكرة 20 م
                <w:br/>
                ‾‾‾‾‾
                <w:br/>
                الأولى: الصحة واللياقة البدنية-&gt;ألعاب ومسابقات حركية لتنمية عنصر الرشاقة
             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الأولى: الصحة واللياقة البدنية-&gt;ألعاب ومسابقات حركية لتنمية عنصر المرونة
                <w:br/>
                ‾‾‾‾‾
                <w:br/>
                الأولى: الصحة واللياقة البدنية-&gt;ألعاب ومسابقات حركية لتنمية عنصر التوافق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الأولى: الصحة واللياقة البدنية-&gt;تقويم مخرجات الوحدة
                <w:br/>
                ‾‾‾‾‾
                <w:br/>
                الثامنة-&gt;العدو الصحيح في خط مستقيم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الثامنة-&gt;اهتزاز بعض أجزاء الجسم بصورة صحيحة
                <w:br/>
                ‾‾‾‾‾
                <w:br/>
                الثامنة-&gt;الجلوس بالاستناد المتزن على الحائط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الثامنة-&gt;تعزيز نواتج التعلم
                <w:br/>
                ‾‾‾‾‾
                <w:br/>
                الثامنة-&gt;تقويم مخرجات الوحدة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التاسعة-&gt;العدو الصحيح في خط منحني
                <w:br/>
                ‾‾‾‾‾
                <w:br/>
                التاسعة-&gt;إيقاف الكرة بأي جزء من أجزاء الجسم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التاسعة-&gt;الوقوف على قاعدة ثابتة بقدم واحدة
                <w:br/>
                ‾‾‾‾‾
                <w:br/>
                التاسعة-&gt;تعزيز نواتج التعلم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التاسعة-&gt;تقويم مخرجات الوحدة
                <w:br/>
                ‾‾‾‾‾
                <w:br/>
                العاشرة-&gt;العدو الصحيح في خط متعرج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العاشرة-&gt;الجري بالكرة
                <w:br/>
                ‾‾‾‾‾
                <w:br/>
                العاشرة-&gt;تعزيز نواتج التعلم
                <w:br/>
                ‾‾‾‾‾
                <w:br/>
                العاشرة-&gt;تقويم مخرجات الوحدة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الوحدة الأولى :الكاراتيه-&gt;تعزيز نواتج التعلم
                <w:br/>
                ‾‾‾‾‾
                <w:br/>
                الوحدة الأولى :الكاراتيه-&gt;تقويم مخرجات الوحدة
                <w:br/>
                ‾‾‾‾‾
                <w:br/>
                الوحدة الثانية: الكاراتيه-&gt;المهارات الدفاعية من الثبات (الصّدّ من أسفل إلى أعلى « أجي- أوكي)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