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spacing w:after="0" w:line="240" w:lineRule="auto"/>
        <w:contextualSpacing w:val="0"/>
        <w:jc w:val="center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1"/>
        </w:rPr>
        <w:t xml:space="preserve">مجموعة</w:t>
      </w:r>
      <w:r w:rsidDel="00000000" w:rsidR="00000000" w:rsidRPr="00000000">
        <w:rPr>
          <w:b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rtl w:val="1"/>
        </w:rPr>
        <w:t xml:space="preserve">أسئلة</w:t>
      </w:r>
      <w:r w:rsidDel="00000000" w:rsidR="00000000" w:rsidRPr="00000000">
        <w:rPr>
          <w:b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rtl w:val="1"/>
        </w:rPr>
        <w:t xml:space="preserve">العبارات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jc w:val="both"/>
        <w:rPr>
          <w:b w:val="0"/>
          <w:sz w:val="28"/>
          <w:szCs w:val="28"/>
          <w:u w:val="single"/>
        </w:rPr>
      </w:pP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ضع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 (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√)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للإجابة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و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(×)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للإجابة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الخاطئة</w:t>
      </w:r>
      <w:r w:rsidDel="00000000" w:rsidR="00000000" w:rsidRPr="00000000">
        <w:rPr>
          <w:b w:val="0"/>
          <w:sz w:val="28"/>
          <w:szCs w:val="28"/>
          <w:u w:val="singl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النقصان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تصبح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الإغلاق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الترتيبية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قياسها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محاسبية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تتحملها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المتقاطعة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موجبة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الإغلاق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متناقص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المستهلكة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للموارد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الرغبات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تصبح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للصفر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الإيراد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=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المستهلكة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نقصت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وتتحول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الضروري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الإيراد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(    )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لمنحنيات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حسبت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.(  )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المتقاطعة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موجبة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البديلة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الضروري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إمكانيات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مساويا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القصير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الثابتة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ويتبع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محدود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وتتقاطع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مساويا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للصفر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الميزانية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.(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القصير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يتناقص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موجبة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يحكم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القصير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Law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diminishing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returns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بمعدلات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متزايدة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MP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.(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الإشباع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إمكانيات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مستغلة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الاستغلال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لسلعة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ارتفاع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يتساوى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الإحلال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العنصرين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انتقال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منحنيات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للعنصر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يتناقص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يتزايد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سيزيد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الدجاج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الدجاج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المستهلكون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ارتفاع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جودتها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كأدوات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التجميل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للنساء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متلقية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(  )</w:t>
      </w:r>
    </w:p>
    <w:p w:rsidR="00000000" w:rsidDel="00000000" w:rsidP="00000000" w:rsidRDefault="00000000" w:rsidRPr="00000000">
      <w:pPr>
        <w:bidi w:val="1"/>
        <w:spacing w:after="0" w:line="240" w:lineRule="auto"/>
        <w:ind w:left="-36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Simplified Arabic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Simplified Arabic" w:cs="Simplified Arabic" w:eastAsia="Simplified Arabic" w:hAnsi="Simplified Arabic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0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bidi w:val="1"/>
      <w:spacing w:after="60" w:before="240" w:line="240" w:lineRule="auto"/>
      <w:jc w:val="left"/>
    </w:pPr>
    <w:rPr>
      <w:rFonts w:ascii="Cambria" w:cs="Cambria" w:eastAsia="Cambria" w:hAnsi="Cambria"/>
      <w:b w:val="0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0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6621D"/>
    <w:pPr>
      <w:jc w:val="right"/>
    </w:pPr>
    <w:rPr>
      <w:rFonts w:ascii="Simplified Arabic" w:hAnsi="Simplified Arabic"/>
      <w:b w:val="1"/>
      <w:i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76621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0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6621D"/>
    <w:pPr>
      <w:keepNext w:val="1"/>
      <w:bidi w:val="1"/>
      <w:spacing w:after="60" w:before="240" w:line="240" w:lineRule="auto"/>
      <w:jc w:val="left"/>
      <w:outlineLvl w:val="1"/>
    </w:pPr>
    <w:rPr>
      <w:rFonts w:ascii="Cambria" w:cs="Times New Roman" w:eastAsia="Times New Roman" w:hAnsi="Cambria"/>
      <w:b w:val="0"/>
      <w:bCs w:val="1"/>
      <w:i w:val="1"/>
      <w:iCs w:val="1"/>
      <w:sz w:val="28"/>
      <w:szCs w:val="28"/>
      <w:lang w:eastAsia="zh-CN" w:val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6621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0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621D"/>
    <w:rPr>
      <w:rFonts w:asciiTheme="majorHAnsi" w:cstheme="majorBidi" w:eastAsiaTheme="majorEastAsia" w:hAnsiTheme="majorHAnsi"/>
      <w:bCs w:val="1"/>
      <w:i w:val="0"/>
      <w:color w:val="365f91" w:themeColor="accent1" w:themeShade="0000BF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76621D"/>
    <w:rPr>
      <w:rFonts w:ascii="Cambria" w:cs="Times New Roman" w:eastAsia="Times New Roman" w:hAnsi="Cambria"/>
      <w:bCs w:val="1"/>
      <w:iCs w:val="1"/>
      <w:sz w:val="28"/>
      <w:szCs w:val="28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621D"/>
    <w:rPr>
      <w:rFonts w:asciiTheme="majorHAnsi" w:cstheme="majorBidi" w:eastAsiaTheme="majorEastAsia" w:hAnsiTheme="majorHAnsi"/>
      <w:bCs w:val="1"/>
      <w:i w:val="0"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 w:val="1"/>
    <w:rsid w:val="0076621D"/>
    <w:pPr>
      <w:ind w:left="720"/>
      <w:contextualSpacing w:val="1"/>
    </w:p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76621D"/>
    <w:pPr>
      <w:jc w:val="left"/>
      <w:outlineLvl w:val="9"/>
    </w:pPr>
    <w:rPr>
      <w:lang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