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11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bidi w:val="1"/>
        <w:spacing w:after="0" w:lineRule="auto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6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أبو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الحسين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نشأ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البصرة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أكابر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الطبيعة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الإسلاميين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ولعله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مقدمة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الطبيعة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العصور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أحاطت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معرفته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بأشياء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الدقة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والصحة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الفلسفة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والهندسة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والطبيعة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وألف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كتبا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ومقالات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تميزت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بالإبداع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والابتكار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6B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أقام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منهجه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أساس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الطبيعية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والاعتماد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التجربة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وتفسيرها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بغية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الوصول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القانون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روجر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بيكون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واضع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أساس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التجريبي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C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نظرية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مفادها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الإبصار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بصدور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شعاع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الشيء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المبصر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مخالفا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اليونانيين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أصحاب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نظرية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الشعاع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قالوا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الإبصار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بخروج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شعاع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الشيء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المبصر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أثر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يقل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أثر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نيوتن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الميكانيكا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نيوتن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رائدا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الميكانيكا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القرن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السابع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رائد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القرن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الحادي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وابن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اكتشف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الخزانة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الثقب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مهد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الطريق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لاختراع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الكاميرا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E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وظف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علمه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ووجهه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أمور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مجتمعه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مقالة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تدعو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حاجة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الشرعية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أمور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الهندسة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6F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2"/>
        <w:gridCol w:w="3265"/>
        <w:gridCol w:w="3965"/>
        <w:tblGridChange w:id="0">
          <w:tblGrid>
            <w:gridCol w:w="2932"/>
            <w:gridCol w:w="3265"/>
            <w:gridCol w:w="39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منهج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الهيثم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قائم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f2f2f2" w:val="clear"/>
                <w:rtl w:val="1"/>
              </w:rPr>
              <w:t xml:space="preserve">  ......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المشاهدة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والمتابعة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والتجريب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التقليد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والمحاكاة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تميزت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مؤلفات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الهيثم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: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الإبداع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والابتكار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كثرة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وتنوعها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بالضخامة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والتنوع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واضع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أساس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التجريبي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: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الهيثم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روجر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بيكون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نيوتن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رؤية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الهيثم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....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خروج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شعاع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خروج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شعاع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أنعكاس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الضوء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نشأ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الهيثم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القرن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: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الحادي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السابع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الخامس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6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أكابر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"  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كبير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كبارة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أكبر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7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نبغ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الهيثم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الكيمياء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الميكانيكا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الطبيعة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bidi w:val="1"/>
        <w:spacing w:after="0" w:lineRule="auto"/>
        <w:rPr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8-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لماذا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يعتبر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سبق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بيكون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روجر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التجريبي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؟  </w:t>
      </w:r>
    </w:p>
    <w:p w:rsidR="00000000" w:rsidDel="00000000" w:rsidP="00000000" w:rsidRDefault="00000000" w:rsidRPr="00000000" w14:paraId="0000009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</w:t>
      </w:r>
    </w:p>
    <w:p w:rsidR="00000000" w:rsidDel="00000000" w:rsidP="00000000" w:rsidRDefault="00000000" w:rsidRPr="00000000" w14:paraId="0000009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9-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الهدف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المنهج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التجريبي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والملاحظة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9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9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10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لابن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الهيثم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الفضل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الكاميرا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وضح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.   </w:t>
      </w:r>
    </w:p>
    <w:p w:rsidR="00000000" w:rsidDel="00000000" w:rsidP="00000000" w:rsidRDefault="00000000" w:rsidRPr="00000000" w14:paraId="000000A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 w14:paraId="000000A1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192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4"/>
        <w:gridCol w:w="59"/>
        <w:gridCol w:w="3119"/>
        <w:gridCol w:w="8"/>
        <w:gridCol w:w="4532"/>
        <w:tblGridChange w:id="0">
          <w:tblGrid>
            <w:gridCol w:w="2474"/>
            <w:gridCol w:w="59"/>
            <w:gridCol w:w="3119"/>
            <w:gridCol w:w="8"/>
            <w:gridCol w:w="453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آخره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لازمة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المقصور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المنقوص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الممدود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A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القاضي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يحكم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بالعدل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القاضي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......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مقصور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منقوص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ممدود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والهواء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ضروريان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للحياة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كلاهما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كليهما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كلتاهما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........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لفظي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مجازي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لفظي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مضافة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D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......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نكرة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65f91"/>
                <w:sz w:val="30"/>
                <w:szCs w:val="3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2"/>
        <w:gridCol w:w="2949"/>
        <w:gridCol w:w="3992"/>
        <w:tblGridChange w:id="0">
          <w:tblGrid>
            <w:gridCol w:w="3242"/>
            <w:gridCol w:w="2949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منتصرون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منتصرون</w:t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منتصرين</w:t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منتصرين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الصديقان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احذف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أصبح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يلزم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الصديقان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أخوين</w:t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الصديقين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أخوين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الصديقان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أخوان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شاكر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ربه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      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شاكرون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شاكرون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شاكران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الكسرة</w:t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  <w:color w:val="365f91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color w:val="365f91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مادام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ناسخ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أخوات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يفيد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الاستمرار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الظرفية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التحول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باقي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1624965</wp:posOffset>
                </wp:positionH>
                <wp:positionV relativeFrom="paragraph">
                  <wp:posOffset>55880</wp:posOffset>
                </wp:positionV>
                <wp:extent cx="848360" cy="127000"/>
                <wp:effectExtent b="44450" l="19050" r="27940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836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1624965</wp:posOffset>
                </wp:positionH>
                <wp:positionV relativeFrom="paragraph">
                  <wp:posOffset>55880</wp:posOffset>
                </wp:positionV>
                <wp:extent cx="895350" cy="190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8953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0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191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6"/>
        <w:gridCol w:w="289"/>
        <w:gridCol w:w="2968"/>
        <w:gridCol w:w="9"/>
        <w:gridCol w:w="4231"/>
        <w:gridCol w:w="8"/>
        <w:tblGridChange w:id="0">
          <w:tblGrid>
            <w:gridCol w:w="2686"/>
            <w:gridCol w:w="289"/>
            <w:gridCol w:w="2968"/>
            <w:gridCol w:w="9"/>
            <w:gridCol w:w="4231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0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بشيء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بأداة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أدواته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3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الاستفهام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التمني</w:t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النداء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1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أليس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؟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أجب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بالإثبات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2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shd w:fill="f2f2f2" w:val="clear"/>
                <w:rtl w:val="1"/>
              </w:rPr>
              <w:t xml:space="preserve">متعبا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يده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ضع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سؤال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7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؟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؟  </w:t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بات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2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يستطيع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للفعل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يشارك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3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اطلب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زميلك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الصوت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تخفض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صوتك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صوتك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14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وليطوفوا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بالبيت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العتيق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صيغة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التعليل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2"/>
        <w:bidiVisual w:val="1"/>
        <w:tblW w:w="10192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1"/>
        <w:gridCol w:w="2970"/>
        <w:gridCol w:w="149"/>
        <w:gridCol w:w="4387"/>
        <w:tblGridChange w:id="0">
          <w:tblGrid>
            <w:gridCol w:w="2615"/>
            <w:gridCol w:w="71"/>
            <w:gridCol w:w="2970"/>
            <w:gridCol w:w="149"/>
            <w:gridCol w:w="438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55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سيبويه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إخراج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وإخراج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ومصدر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خماسي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5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للمتكلم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ينطلق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انطلق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آنطلق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أنطلق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6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اجابة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إجابة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إجابة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7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الضيوف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سداسي</w:t>
            </w:r>
          </w:p>
        </w:tc>
        <w:tc>
          <w:tcPr/>
          <w:p w:rsidR="00000000" w:rsidDel="00000000" w:rsidP="00000000" w:rsidRDefault="00000000" w:rsidRPr="00000000" w14:paraId="0000017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سداسي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7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امرؤ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اثنان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تبدأ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القياسية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السماعية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8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السماعية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8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الاستفهام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                     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صفحات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التاريخ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تتسع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لذكر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شمائله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وسلم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95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96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97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98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99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4"/>
          <w:szCs w:val="34"/>
        </w:rPr>
      </w:pPr>
      <w:hyperlink r:id="rId8">
        <w:r w:rsidDel="00000000" w:rsidR="00000000" w:rsidRPr="00000000">
          <w:rPr>
            <w:rFonts w:ascii="Sakkal Majalla" w:cs="Sakkal Majalla" w:eastAsia="Sakkal Majalla" w:hAnsi="Sakkal Majalla"/>
            <w:b w:val="1"/>
            <w:color w:val="0563c1"/>
            <w:sz w:val="34"/>
            <w:szCs w:val="34"/>
            <w:u w:val="single"/>
            <w:rtl w:val="0"/>
          </w:rPr>
          <w:t xml:space="preserve">https://youtu.be/oQzbhiYCs1E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9B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tdsg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youtu.be/oQzbhiYCs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