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1371600</wp:posOffset>
                </wp:positionV>
                <wp:extent cx="6388100" cy="1803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58300" y="2884650"/>
                          <a:ext cx="6375400" cy="1790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72"/>
                                <w:vertAlign w:val="baseline"/>
                              </w:rPr>
                              <w:t xml:space="preserve">أولويات التحسين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40"/>
                                <w:vertAlign w:val="baseline"/>
                              </w:rPr>
                              <w:t xml:space="preserve">وفق نتائج (تقرير الأداء المدرسي للتقويم الذاتي2023م)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1371600</wp:posOffset>
                </wp:positionV>
                <wp:extent cx="6388100" cy="18034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8100" cy="180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center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center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إعداد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فريق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التقويم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الذاتي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المدرسة</w:t>
      </w:r>
    </w:p>
    <w:p w:rsidR="00000000" w:rsidDel="00000000" w:rsidP="00000000" w:rsidRDefault="00000000" w:rsidRPr="00000000" w14:paraId="00000012">
      <w:pPr>
        <w:bidi w:val="1"/>
        <w:jc w:val="center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center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center"/>
        <w:rPr>
          <w:rFonts w:ascii="Sakkal Majalla" w:cs="Sakkal Majalla" w:eastAsia="Sakkal Majalla" w:hAnsi="Sakkal Majalla"/>
          <w:b w:val="1"/>
          <w:sz w:val="40"/>
          <w:szCs w:val="4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جدول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ترتيب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الأولويات</w:t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24"/>
          <w:szCs w:val="24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عدد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المؤشرات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مجال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=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الإدارة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المدرسية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(15+3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أهلي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)+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التعليم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والتعلم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(13) +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نواتج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التعلم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(13) +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البيئة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المدرسية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(6) = 47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للمدارس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الحكومية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، 50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للمدارس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الأهلية</w:t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color w:val="ff0000"/>
          <w:sz w:val="24"/>
          <w:szCs w:val="24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وزن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الأهمية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مجال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=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الإدارة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المدرسية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 (20%) ،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التعليم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والتعلم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 (30%) ،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نواتج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التعلم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 (40%) ،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البيئة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المدرسية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4"/>
          <w:szCs w:val="24"/>
          <w:rtl w:val="1"/>
        </w:rPr>
        <w:t xml:space="preserve"> (10%)</w:t>
      </w:r>
    </w:p>
    <w:tbl>
      <w:tblPr>
        <w:tblStyle w:val="Table1"/>
        <w:bidiVisual w:val="1"/>
        <w:tblW w:w="12949.999999999998" w:type="dxa"/>
        <w:jc w:val="left"/>
        <w:tblInd w:w="-1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"/>
        <w:gridCol w:w="1737"/>
        <w:gridCol w:w="1276"/>
        <w:gridCol w:w="1419"/>
        <w:gridCol w:w="1701"/>
        <w:gridCol w:w="1559"/>
        <w:gridCol w:w="2268"/>
        <w:gridCol w:w="2954"/>
        <w:gridCol w:w="18"/>
        <w:tblGridChange w:id="0">
          <w:tblGrid>
            <w:gridCol w:w="18"/>
            <w:gridCol w:w="1737"/>
            <w:gridCol w:w="1276"/>
            <w:gridCol w:w="1419"/>
            <w:gridCol w:w="1701"/>
            <w:gridCol w:w="1559"/>
            <w:gridCol w:w="2268"/>
            <w:gridCol w:w="2954"/>
            <w:gridCol w:w="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8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أولا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ً: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بالمعالجة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والتحسين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تستهدف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التحسين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التنفيذية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للفصل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الحالي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1/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تصنيف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المجال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المؤشر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التصنيف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التقييم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ترتيب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النسبية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وزن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المدرسية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1-1-4-1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التهيئة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32"/>
                <w:szCs w:val="32"/>
                <w:rtl w:val="0"/>
              </w:rPr>
              <w:t xml:space="preserve">37%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1234.8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التعليم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1-1-1-3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التهيئة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32"/>
                <w:szCs w:val="32"/>
                <w:rtl w:val="0"/>
              </w:rPr>
              <w:t xml:space="preserve">16%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3360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2-1-1-3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التهيئة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32"/>
                <w:szCs w:val="32"/>
                <w:rtl w:val="0"/>
              </w:rPr>
              <w:t xml:space="preserve">24%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3009.6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المدرسية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3-1-1-4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التهيئة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32"/>
                <w:szCs w:val="32"/>
                <w:rtl w:val="0"/>
              </w:rPr>
              <w:t xml:space="preserve">40%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582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2/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تصنيف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المجال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المؤشر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التصنيف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التقييم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ترتيب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النسبية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وزن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المدرسية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2-1-1-1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57%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808.4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5-1-2-1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64%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648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6-1-2-1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69%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527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2-1-3-1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70%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504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3-1-3-1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70%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504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4-1-4-1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70%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504</w:t>
            </w:r>
          </w:p>
        </w:tc>
      </w:tr>
    </w:tbl>
    <w:p w:rsidR="00000000" w:rsidDel="00000000" w:rsidP="00000000" w:rsidRDefault="00000000" w:rsidRPr="00000000" w14:paraId="0000009D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30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1276"/>
        <w:gridCol w:w="1419"/>
        <w:gridCol w:w="1701"/>
        <w:gridCol w:w="1627"/>
        <w:gridCol w:w="2272"/>
        <w:gridCol w:w="2978"/>
        <w:tblGridChange w:id="0">
          <w:tblGrid>
            <w:gridCol w:w="1755"/>
            <w:gridCol w:w="1276"/>
            <w:gridCol w:w="1419"/>
            <w:gridCol w:w="1701"/>
            <w:gridCol w:w="1627"/>
            <w:gridCol w:w="2272"/>
            <w:gridCol w:w="297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المجال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المؤشر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التصنيف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التقييم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ترتيب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النسبية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وزن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والتعلم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1-1-1-2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1045.5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2-1-1-2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B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897.6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3-1-1-2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1045.5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4-1-1-2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B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897.6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5-1-1-2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C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934.5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6-1-1-2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C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934.5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7-1-1-2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56%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1254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9-1-1-2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68%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825.6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10-1-1-2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E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934.5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1-1-2-2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59%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1143.9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2-1-2-2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F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972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3-1-2-2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F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897.6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التعلم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4-1-2-3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74%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F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863.2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5-1-2-3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74%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0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863.2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6-1-2-3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0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1054</w:t>
            </w:r>
          </w:p>
        </w:tc>
      </w:tr>
    </w:tbl>
    <w:p w:rsidR="00000000" w:rsidDel="00000000" w:rsidP="00000000" w:rsidRDefault="00000000" w:rsidRPr="00000000" w14:paraId="0000010E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309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1"/>
        <w:gridCol w:w="1203"/>
        <w:gridCol w:w="1377"/>
        <w:gridCol w:w="1940"/>
        <w:gridCol w:w="1559"/>
        <w:gridCol w:w="2410"/>
        <w:gridCol w:w="2977"/>
        <w:tblGridChange w:id="0">
          <w:tblGrid>
            <w:gridCol w:w="1631"/>
            <w:gridCol w:w="1203"/>
            <w:gridCol w:w="1377"/>
            <w:gridCol w:w="1940"/>
            <w:gridCol w:w="1559"/>
            <w:gridCol w:w="2410"/>
            <w:gridCol w:w="297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المجال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المؤشر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التصنيف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التقييم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ترتيب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النسبية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وزن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المدرسية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1-1-1-4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54%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441.6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2-1-1-4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287.1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1-1-2-4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368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8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2-1-2-4</w:t>
            </w:r>
          </w:p>
        </w:tc>
        <w:tc>
          <w:tcPr>
            <w:tcBorders>
              <w:bottom w:color="000000" w:space="0" w:sz="4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الانطلاق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8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c000"/>
                <w:sz w:val="32"/>
                <w:szCs w:val="32"/>
                <w:rtl w:val="0"/>
              </w:rPr>
              <w:t xml:space="preserve">69%</w:t>
            </w:r>
          </w:p>
        </w:tc>
        <w:tc>
          <w:tcPr>
            <w:tcBorders>
              <w:bottom w:color="000000" w:space="0" w:sz="48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16</w:t>
            </w:r>
          </w:p>
        </w:tc>
        <w:tc>
          <w:tcPr>
            <w:tcBorders>
              <w:bottom w:color="000000" w:space="0" w:sz="48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85</w:t>
            </w:r>
          </w:p>
        </w:tc>
        <w:tc>
          <w:tcPr>
            <w:tcBorders>
              <w:bottom w:color="000000" w:space="0" w:sz="48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263.5</w:t>
            </w:r>
          </w:p>
        </w:tc>
      </w:tr>
    </w:tbl>
    <w:p w:rsidR="00000000" w:rsidDel="00000000" w:rsidP="00000000" w:rsidRDefault="00000000" w:rsidRPr="00000000" w14:paraId="0000013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bidi w:val="1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bidi w:val="1"/>
        <w:rPr>
          <w:b w:val="1"/>
          <w:sz w:val="40"/>
          <w:szCs w:val="40"/>
        </w:rPr>
      </w:pP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الوزن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الكلي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لأولوية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المعالجة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والتحسين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29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6"/>
        <w:gridCol w:w="6521"/>
        <w:gridCol w:w="3823"/>
        <w:tblGridChange w:id="0">
          <w:tblGrid>
            <w:gridCol w:w="2606"/>
            <w:gridCol w:w="6521"/>
            <w:gridCol w:w="382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المجال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وزن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المجال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A">
            <w:pPr>
              <w:bidi w:val="1"/>
              <w:jc w:val="center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rtl w:val="1"/>
              </w:rPr>
              <w:t xml:space="preserve">التعلم</w:t>
            </w:r>
          </w:p>
        </w:tc>
        <w:tc>
          <w:tcPr/>
          <w:p w:rsidR="00000000" w:rsidDel="00000000" w:rsidP="00000000" w:rsidRDefault="00000000" w:rsidRPr="00000000" w14:paraId="0000013B">
            <w:pPr>
              <w:bidi w:val="1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         (9150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)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بمعدل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 1830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مؤشر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  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الأولى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bidi w:val="1"/>
              <w:jc w:val="center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rtl w:val="1"/>
              </w:rPr>
              <w:t xml:space="preserve">والتعلم</w:t>
            </w:r>
          </w:p>
        </w:tc>
        <w:tc>
          <w:tcPr/>
          <w:p w:rsidR="00000000" w:rsidDel="00000000" w:rsidP="00000000" w:rsidRDefault="00000000" w:rsidRPr="00000000" w14:paraId="0000013E">
            <w:pPr>
              <w:bidi w:val="1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12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مؤشرا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ً           (11782.8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)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بمعدل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 981.9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مؤشر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الثانية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0">
            <w:pPr>
              <w:bidi w:val="1"/>
              <w:jc w:val="center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rtl w:val="1"/>
              </w:rPr>
              <w:t xml:space="preserve">المدرسية</w:t>
            </w:r>
          </w:p>
        </w:tc>
        <w:tc>
          <w:tcPr/>
          <w:p w:rsidR="00000000" w:rsidDel="00000000" w:rsidP="00000000" w:rsidRDefault="00000000" w:rsidRPr="00000000" w14:paraId="00000141">
            <w:pPr>
              <w:bidi w:val="1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7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        (4730.2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)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بمعدل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 946.04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مؤشر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الثالثة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3">
            <w:pPr>
              <w:bidi w:val="1"/>
              <w:jc w:val="center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rtl w:val="1"/>
              </w:rPr>
              <w:t xml:space="preserve">المدرسية</w:t>
            </w:r>
          </w:p>
        </w:tc>
        <w:tc>
          <w:tcPr/>
          <w:p w:rsidR="00000000" w:rsidDel="00000000" w:rsidP="00000000" w:rsidRDefault="00000000" w:rsidRPr="00000000" w14:paraId="00000144">
            <w:pPr>
              <w:bidi w:val="1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          (1942.2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)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بمعدل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 388.44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مؤشر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الرابعة</w:t>
            </w:r>
          </w:p>
        </w:tc>
      </w:tr>
    </w:tbl>
    <w:p w:rsidR="00000000" w:rsidDel="00000000" w:rsidP="00000000" w:rsidRDefault="00000000" w:rsidRPr="00000000" w14:paraId="0000014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30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96"/>
        <w:tblGridChange w:id="0">
          <w:tblGrid>
            <w:gridCol w:w="130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bidi w:val="1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طريقة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احتساب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وزن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الأولوية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المثال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المؤشر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المؤشر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رتبة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المؤشر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الانطلاق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").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تقييم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المؤشر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نسبته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المئوية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جاءت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التقويم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التميز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بتحديد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ترتيب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المؤشرات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تقييمها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المئوية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نبدأ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تصنيف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يعطى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المؤشر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الترتيب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"1"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وهكذا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نستكمل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الترقيم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بالمؤشرات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التصنيف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الانطلاق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"،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ملاحظة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تكرار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الرتبة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للنسب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المتساوية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بتحديد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النسبية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للمؤشر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بإعطاء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المؤشر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(1)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أولوية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نسبية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(100)،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الترتيب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أولوية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نسبية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(99)،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وهكذا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تنازليا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باحتساب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وزن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نقاط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الآتي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:(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①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نوجد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مقدار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العجز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تقييم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المؤشر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بطرح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تقييمه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النسبة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الكلية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100 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37-100=63"،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②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نضرب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مقدار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العجز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النسبية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للمؤشر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وزن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الأهمية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المؤشر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63×(100)×20%=6174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وهكذا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نحصل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وزن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نقاط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للمؤشر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ترتيب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الأهمية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بقسمة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وزن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نقاط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لجميع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= [(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1234.8+808.4+648+527+504+504+504)÷7=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946.04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].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المجالات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تبعا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للخطوة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(6)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لنحصل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تأثير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bidi w:val="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1276"/>
        <w:gridCol w:w="1701"/>
        <w:gridCol w:w="1843"/>
        <w:gridCol w:w="2551"/>
        <w:gridCol w:w="3824"/>
        <w:tblGridChange w:id="0">
          <w:tblGrid>
            <w:gridCol w:w="1755"/>
            <w:gridCol w:w="1276"/>
            <w:gridCol w:w="1701"/>
            <w:gridCol w:w="1843"/>
            <w:gridCol w:w="2551"/>
            <w:gridCol w:w="382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8" w:val="single"/>
            </w:tcBorders>
          </w:tcPr>
          <w:p w:rsidR="00000000" w:rsidDel="00000000" w:rsidP="00000000" w:rsidRDefault="00000000" w:rsidRPr="00000000" w14:paraId="00000157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ثانيا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ً: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المعنية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بالتطوير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تستهدف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التحسين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الممتدة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تاريخه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ولمدة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تقريبا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وتتفرع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تنفيذية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فصلية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5D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1/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تصنيف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المجال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المؤشر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التصنيف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الوزن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وزن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ترتيب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16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التقدم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17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التقدم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التقدم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التقدم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81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2/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التصنيف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التميز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المجال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المؤشر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التصنيف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الوزن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وزن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ترتيب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الأولوية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  <w:vAlign w:val="center"/>
          </w:tcPr>
          <w:p w:rsidR="00000000" w:rsidDel="00000000" w:rsidP="00000000" w:rsidRDefault="00000000" w:rsidRPr="00000000" w14:paraId="0000018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التميز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التميز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  <w:vAlign w:val="center"/>
          </w:tcPr>
          <w:p w:rsidR="00000000" w:rsidDel="00000000" w:rsidP="00000000" w:rsidRDefault="00000000" w:rsidRPr="00000000" w14:paraId="0000019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التميز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  <w:vAlign w:val="center"/>
          </w:tcPr>
          <w:p w:rsidR="00000000" w:rsidDel="00000000" w:rsidP="00000000" w:rsidRDefault="00000000" w:rsidRPr="00000000" w14:paraId="000001A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التميز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bidi w:val="1"/>
        <w:jc w:val="both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bidi w:val="1"/>
        <w:jc w:val="both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1134" w:top="2135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kkal Majalla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Sakkal Majalla" w:cs="Sakkal Majalla" w:eastAsia="Sakkal Majalla" w:hAnsi="Sakkal Majalla"/>
        <w:b w:val="0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  <w:rtl w:val="1"/>
      </w:rPr>
      <w:t xml:space="preserve">ملف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  <w:rtl w:val="1"/>
      </w:rPr>
      <w:t xml:space="preserve">ترتيب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  <w:rtl w:val="1"/>
      </w:rPr>
      <w:t xml:space="preserve">أولويات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  <w:rtl w:val="1"/>
      </w:rPr>
      <w:t xml:space="preserve">خطة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  <w:rtl w:val="1"/>
      </w:rPr>
      <w:t xml:space="preserve">التحسين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  <w:rtl w:val="1"/>
      </w:rPr>
      <w:tab/>
      <w:tab/>
      <w:tab/>
      <w:tab/>
      <w:tab/>
      <w:tab/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6854776</wp:posOffset>
          </wp:positionH>
          <wp:positionV relativeFrom="paragraph">
            <wp:posOffset>-168909</wp:posOffset>
          </wp:positionV>
          <wp:extent cx="1800664" cy="928468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0664" cy="92846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-376603</wp:posOffset>
          </wp:positionH>
          <wp:positionV relativeFrom="paragraph">
            <wp:posOffset>-167004</wp:posOffset>
          </wp:positionV>
          <wp:extent cx="1800664" cy="92846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0664" cy="92846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2540000</wp:posOffset>
              </wp:positionH>
              <wp:positionV relativeFrom="paragraph">
                <wp:posOffset>-215899</wp:posOffset>
              </wp:positionV>
              <wp:extent cx="3174365" cy="117665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763580" y="3196435"/>
                        <a:ext cx="3164840" cy="1167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Sakkal Majalla" w:cs="Sakkal Majalla" w:eastAsia="Sakkal Majalla" w:hAnsi="Sakkal Majall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المملكة العربية السعودية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Sakkal Majalla" w:cs="Sakkal Majalla" w:eastAsia="Sakkal Majalla" w:hAnsi="Sakkal Majall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akkal Majalla" w:cs="Sakkal Majalla" w:eastAsia="Sakkal Majalla" w:hAnsi="Sakkal Majall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وزارة التعليم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Sakkal Majalla" w:cs="Sakkal Majalla" w:eastAsia="Sakkal Majalla" w:hAnsi="Sakkal Majall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akkal Majalla" w:cs="Sakkal Majalla" w:eastAsia="Sakkal Majalla" w:hAnsi="Sakkal Majall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(280)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Sakkal Majalla" w:cs="Sakkal Majalla" w:eastAsia="Sakkal Majalla" w:hAnsi="Sakkal Majall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akkal Majalla" w:cs="Sakkal Majalla" w:eastAsia="Sakkal Majalla" w:hAnsi="Sakkal Majall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الإدارة العامة للتعليم بالإحساء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Sakkal Majalla" w:cs="Sakkal Majalla" w:eastAsia="Sakkal Majalla" w:hAnsi="Sakkal Majall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akkal Majalla" w:cs="Sakkal Majalla" w:eastAsia="Sakkal Majalla" w:hAnsi="Sakkal Majall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مدرسة ...................................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2540000</wp:posOffset>
              </wp:positionH>
              <wp:positionV relativeFrom="paragraph">
                <wp:posOffset>-215899</wp:posOffset>
              </wp:positionV>
              <wp:extent cx="3174365" cy="117665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4365" cy="1176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