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12030" cy="433070"/>
                <wp:effectExtent b="24130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Del="00000000" w:rsidP="00A81A6D" w:rsidRDefault="00A81A6D" w:rsidRPr="00E20888" w14:paraId="794D9ECD" w14:textId="77777777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 w:val="1"/>
                              </w:rPr>
                            </w:pP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توزيع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المحتوى الدراسي على الأسابيع في ال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فصل الدراسي 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الثاني للعام الدراسي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144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4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هـ</w:t>
                            </w:r>
                          </w:p>
                          <w:p w:rsidR="00A81A6D" w:rsidDel="00000000" w:rsidP="00A81A6D" w:rsidRDefault="00A81A6D" w:rsidRPr="00000000" w14:paraId="31D2068D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38700" cy="457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263"/>
        </w:tabs>
        <w:bidi w:val="1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2"/>
        <w:gridCol w:w="1843"/>
        <w:gridCol w:w="864"/>
        <w:gridCol w:w="2268"/>
        <w:gridCol w:w="810"/>
        <w:gridCol w:w="1996"/>
        <w:gridCol w:w="7"/>
        <w:tblGridChange w:id="0">
          <w:tblGrid>
            <w:gridCol w:w="2842"/>
            <w:gridCol w:w="1843"/>
            <w:gridCol w:w="864"/>
            <w:gridCol w:w="2268"/>
            <w:gridCol w:w="810"/>
            <w:gridCol w:w="1996"/>
            <w:gridCol w:w="7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رياضيات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2 -  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رياضيات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5"/>
            <w:shd w:fill="daeef3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التهيئة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4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الدوال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الدوال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العكسية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العكسية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الحاسبة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البيانية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الدالة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العكسية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التربيعي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التربيعي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النوني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النوني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eaaaa" w:val="clear"/>
            <w:vAlign w:val="cente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الحاسبة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البيانية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تمثيل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دالة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النوني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بياني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منتصف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العبارات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العبارات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الأسس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الأسس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المعادلات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المعادلات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الحاسبة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البيانية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المعادلات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الجذرية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9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تراكمي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التهيئة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5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ضرب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العبارات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وقسمتها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ضرب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العبارات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وقسمتها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B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B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العبارات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وطرحها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العبارات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وطرحها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تمثيل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المقلوب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بياني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تمثيل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المقلوب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بياني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منتصف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D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D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D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D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eaaaa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eaaaa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تمثيل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بياني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تمثيل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بياني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الحاسبة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البيانية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تمثيل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بياني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التغير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دوال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التغير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المعادلات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المعادلات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الحاسبة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البيانية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المعادلات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النسبية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تراكمي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التهيئة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6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المتتابعات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بوصفها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دوال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المتتابعات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بوصفها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دوال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المتتابعات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والمتسلسلات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الحسابية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المتتابعات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والمتسلسلات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الحسابية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المتتابعات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والمتسلسلات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الهندسية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المتتابعات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والمتسلسلات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الهندسية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منتصف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المتسلسلات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الهندسية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اللانهائية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5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6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6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المتسلسلات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الهندسية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اللانهائية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الحاسبة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البيانية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المتتابعة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نظرية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الحدين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نظرية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الحدين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الجبر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التوافيق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ومثلث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باسكال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8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8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8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8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البرهان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باستعمال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مبدأ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الاستقراء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الرياضي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البرهان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باستعمال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مبدأ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الاستقراء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الرياضي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تراكمي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eaaaa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eaaaa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A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A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A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