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0A1" w:rsidRPr="003D5E61" w:rsidRDefault="009540A1" w:rsidP="009540A1">
      <w:pPr>
        <w:spacing w:after="0" w:line="240" w:lineRule="auto"/>
        <w:rPr>
          <w:b/>
          <w:bCs/>
        </w:rPr>
      </w:pPr>
      <w:r w:rsidRPr="00F27EE6">
        <w:rPr>
          <w:rFonts w:hint="cs"/>
          <w:b/>
          <w:bCs/>
          <w:rtl/>
        </w:rPr>
        <w:t xml:space="preserve">فقرة </w:t>
      </w:r>
      <w:r>
        <w:rPr>
          <w:rFonts w:hint="cs"/>
          <w:b/>
          <w:bCs/>
          <w:rtl/>
        </w:rPr>
        <w:t>1</w:t>
      </w:r>
      <w:r w:rsidRPr="00D97125">
        <w:rPr>
          <w:rFonts w:hint="cs"/>
          <w:b/>
          <w:bCs/>
          <w:rtl/>
        </w:rPr>
        <w:t xml:space="preserve">- </w:t>
      </w:r>
      <w:r w:rsidRPr="003D5E61">
        <w:rPr>
          <w:rFonts w:hint="cs"/>
          <w:b/>
          <w:bCs/>
          <w:rtl/>
        </w:rPr>
        <w:t>حسب قانون الأعداد الكبيرة:</w:t>
      </w:r>
    </w:p>
    <w:tbl>
      <w:tblPr>
        <w:bidiVisual/>
        <w:tblW w:w="88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557"/>
        <w:gridCol w:w="686"/>
        <w:gridCol w:w="3916"/>
      </w:tblGrid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(أ)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3D5E61" w:rsidRDefault="009540A1" w:rsidP="001B7FC0">
            <w:pPr>
              <w:pStyle w:val="ListParagraph"/>
              <w:ind w:left="0"/>
              <w:jc w:val="both"/>
              <w:rPr>
                <w:sz w:val="36"/>
                <w:szCs w:val="36"/>
                <w:u w:val="single"/>
                <w:rtl/>
              </w:rPr>
            </w:pPr>
            <w:r w:rsidRPr="003D5E61">
              <w:rPr>
                <w:rFonts w:ascii="Arial" w:hAnsi="Arial" w:cs="Arial" w:hint="cs"/>
                <w:color w:val="000000"/>
                <w:kern w:val="24"/>
                <w:rtl/>
              </w:rPr>
              <w:t>يقل الفرق بين الخسائر الفعلية والخسائر المتوقعة إحصائيا إلى حده الأدنى كلما زاد عدد الوحدات المعرضة للخطر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(ب)</w:t>
            </w:r>
          </w:p>
        </w:tc>
        <w:tc>
          <w:tcPr>
            <w:tcW w:w="3916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1B7F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>
              <w:rPr>
                <w:rFonts w:ascii="Arial" w:hAnsi="Arial" w:cs="Arial" w:hint="cs"/>
                <w:color w:val="000000"/>
                <w:kern w:val="24"/>
                <w:rtl/>
              </w:rPr>
              <w:t>يزيد</w:t>
            </w:r>
            <w:r w:rsidRPr="003D5E61">
              <w:rPr>
                <w:rFonts w:ascii="Arial" w:hAnsi="Arial" w:cs="Arial" w:hint="cs"/>
                <w:color w:val="000000"/>
                <w:kern w:val="24"/>
                <w:rtl/>
              </w:rPr>
              <w:t xml:space="preserve"> الفرق بين الخسائر الفعلية والخسائر المتوقعة إحصائيا إلى حده الأدنى كلما زاد عدد الوحدات المعرضة للخطر</w:t>
            </w:r>
          </w:p>
        </w:tc>
      </w:tr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(ج)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3D5E61" w:rsidRDefault="009540A1" w:rsidP="009540A1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kern w:val="24"/>
                <w:rtl/>
              </w:rPr>
            </w:pPr>
            <w:r w:rsidRPr="003D5E61">
              <w:rPr>
                <w:rFonts w:ascii="Arial" w:hAnsi="Arial" w:cs="Arial" w:hint="cs"/>
                <w:color w:val="000000"/>
                <w:kern w:val="24"/>
                <w:rtl/>
              </w:rPr>
              <w:t>الفرق بين الخسائر الفعلية والخسائر المتوقعة إحصائيا يبقى ثابت لا</w:t>
            </w:r>
            <w:r>
              <w:rPr>
                <w:rFonts w:ascii="Arial" w:hAnsi="Arial" w:cs="Arial" w:hint="cs"/>
                <w:color w:val="000000"/>
                <w:kern w:val="24"/>
                <w:rtl/>
              </w:rPr>
              <w:t xml:space="preserve"> </w:t>
            </w:r>
            <w:r w:rsidRPr="003D5E61">
              <w:rPr>
                <w:rFonts w:ascii="Arial" w:hAnsi="Arial" w:cs="Arial" w:hint="cs"/>
                <w:color w:val="000000"/>
                <w:kern w:val="24"/>
                <w:rtl/>
              </w:rPr>
              <w:t>يتغير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(د)</w:t>
            </w:r>
          </w:p>
        </w:tc>
        <w:tc>
          <w:tcPr>
            <w:tcW w:w="3916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>
              <w:rPr>
                <w:rFonts w:hint="cs"/>
                <w:rtl/>
              </w:rPr>
              <w:t>لاشيء مما سبق</w:t>
            </w:r>
          </w:p>
        </w:tc>
      </w:tr>
    </w:tbl>
    <w:p w:rsidR="009540A1" w:rsidRPr="00F27EE6" w:rsidRDefault="009540A1" w:rsidP="009540A1">
      <w:pPr>
        <w:spacing w:after="0" w:line="240" w:lineRule="auto"/>
        <w:rPr>
          <w:b/>
          <w:bCs/>
        </w:rPr>
      </w:pPr>
      <w:r w:rsidRPr="00F27EE6">
        <w:rPr>
          <w:b/>
          <w:bCs/>
          <w:rtl/>
        </w:rPr>
        <w:t xml:space="preserve">فقرة </w:t>
      </w:r>
      <w:r>
        <w:rPr>
          <w:rFonts w:hint="cs"/>
          <w:b/>
          <w:bCs/>
          <w:rtl/>
        </w:rPr>
        <w:t>2</w:t>
      </w:r>
      <w:r w:rsidRPr="00D97125">
        <w:rPr>
          <w:b/>
          <w:bCs/>
          <w:rtl/>
        </w:rPr>
        <w:t xml:space="preserve">- </w:t>
      </w:r>
      <w:r w:rsidRPr="003D5E61">
        <w:rPr>
          <w:rFonts w:hint="cs"/>
          <w:b/>
          <w:bCs/>
          <w:rtl/>
        </w:rPr>
        <w:t>يعرف الخطر الموضوعي</w:t>
      </w:r>
    </w:p>
    <w:tbl>
      <w:tblPr>
        <w:bidiVisual/>
        <w:tblW w:w="88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557"/>
        <w:gridCol w:w="686"/>
        <w:gridCol w:w="3916"/>
      </w:tblGrid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(أ)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3D5E61" w:rsidRDefault="009540A1" w:rsidP="009540A1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kern w:val="24"/>
                <w:rtl/>
              </w:rPr>
            </w:pPr>
            <w:r w:rsidRPr="003D5E61">
              <w:rPr>
                <w:rFonts w:ascii="Arial" w:hAnsi="Arial" w:cs="Arial" w:hint="cs"/>
                <w:color w:val="000000"/>
                <w:kern w:val="24"/>
                <w:rtl/>
              </w:rPr>
              <w:t>الثبات في الخسارة المتوقعة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(ب)</w:t>
            </w:r>
          </w:p>
        </w:tc>
        <w:tc>
          <w:tcPr>
            <w:tcW w:w="3916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3D5E61" w:rsidRDefault="009540A1" w:rsidP="009540A1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kern w:val="24"/>
                <w:rtl/>
              </w:rPr>
            </w:pPr>
            <w:r w:rsidRPr="003D5E61">
              <w:rPr>
                <w:rFonts w:ascii="Arial" w:hAnsi="Arial" w:cs="Arial" w:hint="cs"/>
                <w:color w:val="000000"/>
                <w:kern w:val="24"/>
                <w:rtl/>
              </w:rPr>
              <w:t>عدم التيقن أو</w:t>
            </w:r>
            <w:r>
              <w:rPr>
                <w:rFonts w:ascii="Arial" w:hAnsi="Arial" w:cs="Arial" w:hint="cs"/>
                <w:color w:val="000000"/>
                <w:kern w:val="24"/>
                <w:rtl/>
              </w:rPr>
              <w:t xml:space="preserve"> </w:t>
            </w:r>
            <w:r w:rsidRPr="003D5E61">
              <w:rPr>
                <w:rFonts w:ascii="Arial" w:hAnsi="Arial" w:cs="Arial" w:hint="cs"/>
                <w:color w:val="000000"/>
                <w:kern w:val="24"/>
                <w:rtl/>
              </w:rPr>
              <w:t>عدم التأكد المبنى عل الحالة الذهنية للشخص</w:t>
            </w:r>
          </w:p>
        </w:tc>
      </w:tr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(ج)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0E32C0" w:rsidRDefault="009540A1" w:rsidP="009540A1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kern w:val="24"/>
                <w:rtl/>
              </w:rPr>
            </w:pPr>
            <w:r w:rsidRPr="000E32C0">
              <w:rPr>
                <w:rFonts w:ascii="Arial" w:hAnsi="Arial" w:cs="Arial" w:hint="cs"/>
                <w:color w:val="000000"/>
                <w:kern w:val="24"/>
                <w:rtl/>
              </w:rPr>
              <w:t>التغيير النسبي للخسارة الفعلية عن الخسارة المتوقعة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(د)</w:t>
            </w:r>
          </w:p>
        </w:tc>
        <w:tc>
          <w:tcPr>
            <w:tcW w:w="3916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>
              <w:rPr>
                <w:rFonts w:hint="cs"/>
                <w:rtl/>
              </w:rPr>
              <w:t>جميع ما سبق</w:t>
            </w:r>
          </w:p>
        </w:tc>
      </w:tr>
    </w:tbl>
    <w:p w:rsidR="009540A1" w:rsidRPr="00F27EE6" w:rsidRDefault="009540A1" w:rsidP="009540A1">
      <w:pPr>
        <w:spacing w:after="0" w:line="240" w:lineRule="auto"/>
        <w:rPr>
          <w:b/>
          <w:bCs/>
          <w:rtl/>
        </w:rPr>
      </w:pPr>
      <w:r w:rsidRPr="00F27EE6">
        <w:rPr>
          <w:b/>
          <w:bCs/>
          <w:rtl/>
        </w:rPr>
        <w:t xml:space="preserve">فقرة </w:t>
      </w:r>
      <w:r w:rsidRPr="00D97125">
        <w:rPr>
          <w:rFonts w:hint="cs"/>
          <w:b/>
          <w:bCs/>
          <w:rtl/>
        </w:rPr>
        <w:t>3-</w:t>
      </w:r>
      <w:r w:rsidRPr="00D97125">
        <w:rPr>
          <w:b/>
          <w:bCs/>
          <w:rtl/>
        </w:rPr>
        <w:t xml:space="preserve"> </w:t>
      </w:r>
      <w:r w:rsidRPr="000E32C0">
        <w:rPr>
          <w:rFonts w:hint="cs"/>
          <w:b/>
          <w:bCs/>
          <w:rtl/>
        </w:rPr>
        <w:t>الأخطار المعنوية هي أخطار</w:t>
      </w:r>
    </w:p>
    <w:tbl>
      <w:tblPr>
        <w:bidiVisual/>
        <w:tblW w:w="88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557"/>
        <w:gridCol w:w="686"/>
        <w:gridCol w:w="3916"/>
      </w:tblGrid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(أ)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0E32C0" w:rsidRDefault="009540A1" w:rsidP="009540A1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kern w:val="24"/>
                <w:rtl/>
              </w:rPr>
            </w:pPr>
            <w:r w:rsidRPr="000E32C0">
              <w:rPr>
                <w:rFonts w:ascii="Arial" w:hAnsi="Arial" w:cs="Arial" w:hint="cs"/>
                <w:color w:val="000000"/>
                <w:kern w:val="24"/>
                <w:rtl/>
              </w:rPr>
              <w:t>لا تخضع عادة لمبدأ القياس والتقييم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(ب)</w:t>
            </w:r>
          </w:p>
        </w:tc>
        <w:tc>
          <w:tcPr>
            <w:tcW w:w="3916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0E32C0" w:rsidRDefault="009540A1" w:rsidP="009540A1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kern w:val="24"/>
                <w:rtl/>
              </w:rPr>
            </w:pPr>
            <w:r w:rsidRPr="000E32C0">
              <w:rPr>
                <w:rFonts w:ascii="Arial" w:hAnsi="Arial" w:cs="Arial" w:hint="cs"/>
                <w:color w:val="000000"/>
                <w:kern w:val="24"/>
                <w:rtl/>
              </w:rPr>
              <w:t>لا تتسبب في خسارة مادية بصورة مباشرة</w:t>
            </w:r>
          </w:p>
        </w:tc>
      </w:tr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(ج)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0E32C0" w:rsidRDefault="009540A1" w:rsidP="009540A1">
            <w:pPr>
              <w:pStyle w:val="ListParagraph"/>
              <w:ind w:left="0"/>
              <w:jc w:val="both"/>
              <w:rPr>
                <w:rFonts w:ascii="Arial" w:hAnsi="Arial" w:cs="Arial"/>
                <w:color w:val="000000"/>
                <w:kern w:val="24"/>
                <w:rtl/>
              </w:rPr>
            </w:pPr>
            <w:r w:rsidRPr="000E32C0">
              <w:rPr>
                <w:rFonts w:ascii="Arial" w:hAnsi="Arial" w:cs="Arial" w:hint="cs"/>
                <w:color w:val="000000"/>
                <w:kern w:val="24"/>
                <w:rtl/>
              </w:rPr>
              <w:t>لا تؤمن شركات التأمين عادة ضدها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(د)</w:t>
            </w:r>
          </w:p>
        </w:tc>
        <w:tc>
          <w:tcPr>
            <w:tcW w:w="3916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>
              <w:rPr>
                <w:rFonts w:hint="cs"/>
                <w:rtl/>
              </w:rPr>
              <w:t>جميع ما سبق</w:t>
            </w:r>
          </w:p>
        </w:tc>
      </w:tr>
    </w:tbl>
    <w:p w:rsidR="009540A1" w:rsidRPr="002876AA" w:rsidRDefault="009540A1" w:rsidP="009540A1">
      <w:pPr>
        <w:spacing w:after="0" w:line="240" w:lineRule="auto"/>
        <w:rPr>
          <w:b/>
          <w:bCs/>
          <w:rtl/>
        </w:rPr>
      </w:pPr>
      <w:r w:rsidRPr="002876AA">
        <w:rPr>
          <w:b/>
          <w:bCs/>
          <w:rtl/>
        </w:rPr>
        <w:t xml:space="preserve">فقرة </w:t>
      </w:r>
      <w:r w:rsidRPr="00D97125">
        <w:rPr>
          <w:rFonts w:hint="cs"/>
          <w:b/>
          <w:bCs/>
          <w:rtl/>
        </w:rPr>
        <w:t>4-</w:t>
      </w:r>
      <w:r w:rsidRPr="00D97125">
        <w:rPr>
          <w:b/>
          <w:bCs/>
          <w:rtl/>
        </w:rPr>
        <w:t xml:space="preserve"> </w:t>
      </w:r>
      <w:r w:rsidRPr="000E32C0">
        <w:rPr>
          <w:rFonts w:hint="cs"/>
          <w:b/>
          <w:bCs/>
          <w:rtl/>
        </w:rPr>
        <w:t>يعتبر النقص في استعمال أصل بنفس الكفاءة من</w:t>
      </w:r>
    </w:p>
    <w:tbl>
      <w:tblPr>
        <w:bidiVisual/>
        <w:tblW w:w="8832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557"/>
        <w:gridCol w:w="686"/>
        <w:gridCol w:w="3916"/>
      </w:tblGrid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(أ)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0E32C0">
              <w:rPr>
                <w:rFonts w:hint="cs"/>
                <w:rtl/>
              </w:rPr>
              <w:t xml:space="preserve">الأخطار الشخصية 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(ب)</w:t>
            </w:r>
          </w:p>
        </w:tc>
        <w:tc>
          <w:tcPr>
            <w:tcW w:w="3916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0E32C0">
              <w:rPr>
                <w:rFonts w:hint="cs"/>
                <w:rtl/>
              </w:rPr>
              <w:t>أخطار الممتلكات</w:t>
            </w:r>
          </w:p>
        </w:tc>
      </w:tr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(ج)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0E32C0">
              <w:rPr>
                <w:rFonts w:hint="cs"/>
                <w:rtl/>
              </w:rPr>
              <w:t>أخطار المسؤولية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(د)</w:t>
            </w:r>
          </w:p>
        </w:tc>
        <w:tc>
          <w:tcPr>
            <w:tcW w:w="3916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0E32C0">
              <w:rPr>
                <w:rFonts w:hint="cs"/>
                <w:rtl/>
              </w:rPr>
              <w:t>لاشيء مما سبق</w:t>
            </w:r>
          </w:p>
        </w:tc>
      </w:tr>
    </w:tbl>
    <w:p w:rsidR="009540A1" w:rsidRPr="002876AA" w:rsidRDefault="009540A1" w:rsidP="0069742D">
      <w:pPr>
        <w:spacing w:after="0" w:line="240" w:lineRule="auto"/>
        <w:rPr>
          <w:b/>
          <w:bCs/>
          <w:rtl/>
        </w:rPr>
      </w:pPr>
      <w:r w:rsidRPr="002876AA">
        <w:rPr>
          <w:b/>
          <w:bCs/>
          <w:rtl/>
        </w:rPr>
        <w:t xml:space="preserve">فقرة </w:t>
      </w:r>
      <w:r w:rsidR="0069742D">
        <w:rPr>
          <w:rFonts w:hint="cs"/>
          <w:b/>
          <w:bCs/>
          <w:rtl/>
        </w:rPr>
        <w:t>5</w:t>
      </w:r>
      <w:r w:rsidRPr="00D97125">
        <w:rPr>
          <w:rFonts w:hint="cs"/>
          <w:b/>
          <w:bCs/>
          <w:rtl/>
        </w:rPr>
        <w:t>-</w:t>
      </w:r>
      <w:r w:rsidRPr="00D97125">
        <w:rPr>
          <w:b/>
          <w:bCs/>
          <w:rtl/>
        </w:rPr>
        <w:t xml:space="preserve"> </w:t>
      </w:r>
      <w:r w:rsidRPr="00B92CEA">
        <w:rPr>
          <w:rFonts w:hint="cs"/>
          <w:b/>
          <w:bCs/>
          <w:rtl/>
        </w:rPr>
        <w:t>تظهر أهمية العوامل المساعدة للخطر في كونها</w:t>
      </w:r>
    </w:p>
    <w:tbl>
      <w:tblPr>
        <w:bidiVisual/>
        <w:tblW w:w="89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557"/>
        <w:gridCol w:w="686"/>
        <w:gridCol w:w="4000"/>
      </w:tblGrid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(أ)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B92CEA">
              <w:rPr>
                <w:rFonts w:hint="cs"/>
                <w:rtl/>
              </w:rPr>
              <w:t>تساعد المؤمن له على الحصول على تعويضات من شركة التأمين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(ب)</w:t>
            </w:r>
          </w:p>
        </w:tc>
        <w:tc>
          <w:tcPr>
            <w:tcW w:w="4000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B92CEA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B92CEA">
              <w:rPr>
                <w:rFonts w:hint="cs"/>
                <w:rtl/>
              </w:rPr>
              <w:t xml:space="preserve">تحدد قرار شركة التأمين في قبول أو رفض قرار التأمين </w:t>
            </w:r>
          </w:p>
        </w:tc>
      </w:tr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(ج)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B92CEA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B92CEA">
              <w:rPr>
                <w:rFonts w:hint="cs"/>
                <w:rtl/>
              </w:rPr>
              <w:t xml:space="preserve">تجبر شركات التأمين على قبول التأمين 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(د)</w:t>
            </w:r>
          </w:p>
        </w:tc>
        <w:tc>
          <w:tcPr>
            <w:tcW w:w="4000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>
              <w:rPr>
                <w:rFonts w:hint="cs"/>
                <w:rtl/>
              </w:rPr>
              <w:t>جميع</w:t>
            </w:r>
            <w:r w:rsidRPr="00B92CEA">
              <w:rPr>
                <w:rFonts w:hint="cs"/>
                <w:rtl/>
              </w:rPr>
              <w:t xml:space="preserve"> ما سبق</w:t>
            </w:r>
          </w:p>
        </w:tc>
      </w:tr>
    </w:tbl>
    <w:p w:rsidR="009540A1" w:rsidRPr="002876AA" w:rsidRDefault="009540A1" w:rsidP="0069742D">
      <w:pPr>
        <w:spacing w:after="0" w:line="240" w:lineRule="auto"/>
        <w:rPr>
          <w:b/>
          <w:bCs/>
          <w:rtl/>
        </w:rPr>
      </w:pPr>
      <w:r w:rsidRPr="002876AA">
        <w:rPr>
          <w:b/>
          <w:bCs/>
          <w:rtl/>
        </w:rPr>
        <w:t xml:space="preserve">فقرة </w:t>
      </w:r>
      <w:r w:rsidR="0069742D">
        <w:rPr>
          <w:rFonts w:hint="cs"/>
          <w:b/>
          <w:bCs/>
          <w:rtl/>
        </w:rPr>
        <w:t>6</w:t>
      </w:r>
      <w:r w:rsidRPr="00D97125">
        <w:rPr>
          <w:rFonts w:hint="cs"/>
          <w:b/>
          <w:bCs/>
          <w:rtl/>
        </w:rPr>
        <w:t>-</w:t>
      </w:r>
      <w:r w:rsidRPr="00D97125">
        <w:rPr>
          <w:b/>
          <w:bCs/>
          <w:rtl/>
        </w:rPr>
        <w:t xml:space="preserve"> </w:t>
      </w:r>
      <w:r w:rsidRPr="00B92CEA">
        <w:rPr>
          <w:rFonts w:hint="cs"/>
          <w:b/>
          <w:bCs/>
          <w:rtl/>
        </w:rPr>
        <w:t>يعرف الخطر الموضوعي بأنه</w:t>
      </w:r>
    </w:p>
    <w:tbl>
      <w:tblPr>
        <w:bidiVisual/>
        <w:tblW w:w="89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557"/>
        <w:gridCol w:w="686"/>
        <w:gridCol w:w="4000"/>
      </w:tblGrid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(أ)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B92CEA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B92CEA">
              <w:rPr>
                <w:rFonts w:hint="cs"/>
                <w:rtl/>
              </w:rPr>
              <w:t>التغيير النسبي للخسارة الفعلية عن الخسارة المتوقعة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(ب)</w:t>
            </w:r>
          </w:p>
        </w:tc>
        <w:tc>
          <w:tcPr>
            <w:tcW w:w="4000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B92CEA">
              <w:rPr>
                <w:rFonts w:hint="cs"/>
                <w:rtl/>
              </w:rPr>
              <w:t>الثبات في الخسارة المتوقعة</w:t>
            </w:r>
          </w:p>
        </w:tc>
      </w:tr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(ج)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B92CEA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B92CEA">
              <w:rPr>
                <w:rFonts w:hint="cs"/>
                <w:rtl/>
              </w:rPr>
              <w:t>عدم التيقن أو عدم التأكد المبني على الحالة الذهنية للشخص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(د)</w:t>
            </w:r>
          </w:p>
        </w:tc>
        <w:tc>
          <w:tcPr>
            <w:tcW w:w="4000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B92CEA">
              <w:rPr>
                <w:rFonts w:hint="cs"/>
                <w:rtl/>
              </w:rPr>
              <w:t>لا شي</w:t>
            </w:r>
            <w:r w:rsidRPr="00B92CEA">
              <w:rPr>
                <w:rFonts w:hint="eastAsia"/>
                <w:rtl/>
              </w:rPr>
              <w:t>ء</w:t>
            </w:r>
            <w:r w:rsidRPr="00B92CEA">
              <w:rPr>
                <w:rFonts w:hint="cs"/>
                <w:rtl/>
              </w:rPr>
              <w:t xml:space="preserve"> مما سبق</w:t>
            </w:r>
          </w:p>
        </w:tc>
      </w:tr>
    </w:tbl>
    <w:p w:rsidR="009540A1" w:rsidRPr="002876AA" w:rsidRDefault="009540A1" w:rsidP="0069742D">
      <w:pPr>
        <w:spacing w:after="0" w:line="240" w:lineRule="auto"/>
        <w:rPr>
          <w:b/>
          <w:bCs/>
          <w:rtl/>
        </w:rPr>
      </w:pPr>
      <w:r w:rsidRPr="002876AA">
        <w:rPr>
          <w:b/>
          <w:bCs/>
          <w:rtl/>
        </w:rPr>
        <w:t xml:space="preserve">فقرة </w:t>
      </w:r>
      <w:r w:rsidR="0069742D">
        <w:rPr>
          <w:rFonts w:hint="cs"/>
          <w:b/>
          <w:bCs/>
          <w:rtl/>
        </w:rPr>
        <w:t>7</w:t>
      </w:r>
      <w:r w:rsidRPr="00D97125">
        <w:rPr>
          <w:rFonts w:hint="cs"/>
          <w:b/>
          <w:bCs/>
          <w:rtl/>
        </w:rPr>
        <w:t>-</w:t>
      </w:r>
      <w:r w:rsidRPr="00D97125">
        <w:rPr>
          <w:b/>
          <w:bCs/>
          <w:rtl/>
        </w:rPr>
        <w:t xml:space="preserve"> </w:t>
      </w:r>
      <w:r w:rsidRPr="00661F20">
        <w:rPr>
          <w:rFonts w:hint="cs"/>
          <w:b/>
          <w:bCs/>
          <w:rtl/>
        </w:rPr>
        <w:t>حتى يكون تطبيق قانون الأعداد الكبيرة ممكنا فإن الوحدات المعرضة للخطر والتي يتم تجميعها يجب</w:t>
      </w:r>
    </w:p>
    <w:tbl>
      <w:tblPr>
        <w:bidiVisual/>
        <w:tblW w:w="89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557"/>
        <w:gridCol w:w="686"/>
        <w:gridCol w:w="4000"/>
      </w:tblGrid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(أ)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661F20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661F20">
              <w:rPr>
                <w:rFonts w:hint="cs"/>
                <w:rtl/>
              </w:rPr>
              <w:t>أن يكون لها تقريباً نفس احتمال التعرض للخسارة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(ب)</w:t>
            </w:r>
          </w:p>
        </w:tc>
        <w:tc>
          <w:tcPr>
            <w:tcW w:w="4000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661F20">
              <w:rPr>
                <w:rFonts w:hint="cs"/>
                <w:rtl/>
              </w:rPr>
              <w:t>أن لا</w:t>
            </w:r>
            <w:r>
              <w:rPr>
                <w:rFonts w:hint="cs"/>
                <w:rtl/>
              </w:rPr>
              <w:t xml:space="preserve"> </w:t>
            </w:r>
            <w:r w:rsidRPr="00661F20">
              <w:rPr>
                <w:rFonts w:hint="cs"/>
                <w:rtl/>
              </w:rPr>
              <w:t>تكون متجانسة</w:t>
            </w:r>
          </w:p>
        </w:tc>
      </w:tr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(ج)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661F20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661F20">
              <w:rPr>
                <w:rFonts w:hint="cs"/>
                <w:rtl/>
              </w:rPr>
              <w:t xml:space="preserve">أن يكون لها اختلاف كبير في احتمال التعرض للخسارة 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(د)</w:t>
            </w:r>
          </w:p>
        </w:tc>
        <w:tc>
          <w:tcPr>
            <w:tcW w:w="4000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>
              <w:rPr>
                <w:rFonts w:hint="cs"/>
                <w:rtl/>
              </w:rPr>
              <w:t>جميع ما سبق</w:t>
            </w:r>
          </w:p>
        </w:tc>
      </w:tr>
    </w:tbl>
    <w:p w:rsidR="009540A1" w:rsidRPr="002876AA" w:rsidRDefault="009540A1" w:rsidP="0069742D">
      <w:pPr>
        <w:spacing w:after="0" w:line="240" w:lineRule="auto"/>
        <w:rPr>
          <w:b/>
          <w:bCs/>
          <w:rtl/>
        </w:rPr>
      </w:pPr>
      <w:r w:rsidRPr="002876AA">
        <w:rPr>
          <w:b/>
          <w:bCs/>
          <w:rtl/>
        </w:rPr>
        <w:t xml:space="preserve">فقرة </w:t>
      </w:r>
      <w:r w:rsidR="0069742D">
        <w:rPr>
          <w:rFonts w:hint="cs"/>
          <w:b/>
          <w:bCs/>
          <w:rtl/>
        </w:rPr>
        <w:t>8</w:t>
      </w:r>
      <w:r w:rsidRPr="00D97125">
        <w:rPr>
          <w:rFonts w:hint="cs"/>
          <w:b/>
          <w:bCs/>
          <w:rtl/>
        </w:rPr>
        <w:t>-</w:t>
      </w:r>
      <w:r w:rsidRPr="00D97125">
        <w:rPr>
          <w:b/>
          <w:bCs/>
          <w:rtl/>
        </w:rPr>
        <w:t xml:space="preserve"> </w:t>
      </w:r>
      <w:r w:rsidRPr="0042519F">
        <w:rPr>
          <w:rFonts w:hint="cs"/>
          <w:b/>
          <w:bCs/>
          <w:rtl/>
        </w:rPr>
        <w:t>يكون الخطر قابل للتأمين</w:t>
      </w:r>
    </w:p>
    <w:tbl>
      <w:tblPr>
        <w:bidiVisual/>
        <w:tblW w:w="891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3557"/>
        <w:gridCol w:w="686"/>
        <w:gridCol w:w="4000"/>
      </w:tblGrid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(أ)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42519F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42519F">
              <w:rPr>
                <w:rFonts w:hint="cs"/>
                <w:rtl/>
              </w:rPr>
              <w:t>غير مرتهن لإدارة المؤمن له فقط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(ب)</w:t>
            </w:r>
          </w:p>
        </w:tc>
        <w:tc>
          <w:tcPr>
            <w:tcW w:w="4000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42519F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42519F">
              <w:rPr>
                <w:rFonts w:hint="cs"/>
                <w:rtl/>
              </w:rPr>
              <w:t>غير مرتهن لإدارة المؤمن ه فقط</w:t>
            </w:r>
          </w:p>
        </w:tc>
      </w:tr>
      <w:tr w:rsidR="009540A1" w:rsidRPr="00217A59" w:rsidTr="00660061">
        <w:trPr>
          <w:trHeight w:val="331"/>
        </w:trPr>
        <w:tc>
          <w:tcPr>
            <w:tcW w:w="673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spacing w:after="0" w:line="240" w:lineRule="auto"/>
              <w:jc w:val="center"/>
              <w:rPr>
                <w:rtl/>
              </w:rPr>
            </w:pPr>
            <w:r w:rsidRPr="00217A59">
              <w:rPr>
                <w:rtl/>
              </w:rPr>
              <w:t>(ج)</w:t>
            </w:r>
          </w:p>
        </w:tc>
        <w:tc>
          <w:tcPr>
            <w:tcW w:w="3557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42519F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42519F">
              <w:rPr>
                <w:rFonts w:hint="cs"/>
                <w:rtl/>
              </w:rPr>
              <w:t xml:space="preserve">غير مرتهن لإدارة المؤمن له و المؤمن </w:t>
            </w:r>
          </w:p>
        </w:tc>
        <w:tc>
          <w:tcPr>
            <w:tcW w:w="686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217A59">
              <w:rPr>
                <w:rtl/>
              </w:rPr>
              <w:t>(د)</w:t>
            </w:r>
          </w:p>
        </w:tc>
        <w:tc>
          <w:tcPr>
            <w:tcW w:w="4000" w:type="dxa"/>
            <w:shd w:val="clear" w:color="auto" w:fill="auto"/>
            <w:tcMar>
              <w:left w:w="0" w:type="dxa"/>
              <w:right w:w="101" w:type="dxa"/>
            </w:tcMar>
            <w:vAlign w:val="center"/>
          </w:tcPr>
          <w:p w:rsidR="009540A1" w:rsidRPr="00217A59" w:rsidRDefault="009540A1" w:rsidP="009540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0" w:right="15" w:hanging="15"/>
              <w:rPr>
                <w:rtl/>
              </w:rPr>
            </w:pPr>
            <w:r w:rsidRPr="0042519F">
              <w:rPr>
                <w:rFonts w:hint="cs"/>
                <w:rtl/>
              </w:rPr>
              <w:t>لا شي</w:t>
            </w:r>
            <w:r w:rsidRPr="0042519F">
              <w:rPr>
                <w:rFonts w:hint="eastAsia"/>
                <w:rtl/>
              </w:rPr>
              <w:t>ء</w:t>
            </w:r>
            <w:r w:rsidRPr="0042519F">
              <w:rPr>
                <w:rFonts w:hint="cs"/>
                <w:rtl/>
              </w:rPr>
              <w:t xml:space="preserve"> مما سبق</w:t>
            </w:r>
          </w:p>
        </w:tc>
      </w:tr>
    </w:tbl>
    <w:p w:rsidR="006D611C" w:rsidRDefault="006D611C" w:rsidP="009540A1">
      <w:pPr>
        <w:spacing w:after="0" w:line="240" w:lineRule="auto"/>
      </w:pPr>
    </w:p>
    <w:sectPr w:rsidR="006D611C" w:rsidSect="00CB4628">
      <w:headerReference w:type="default" r:id="rId6"/>
      <w:foot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EC1" w:rsidRDefault="00131EC1" w:rsidP="009540A1">
      <w:pPr>
        <w:spacing w:after="0" w:line="240" w:lineRule="auto"/>
      </w:pPr>
      <w:r>
        <w:separator/>
      </w:r>
    </w:p>
  </w:endnote>
  <w:endnote w:type="continuationSeparator" w:id="1">
    <w:p w:rsidR="00131EC1" w:rsidRDefault="00131EC1" w:rsidP="009540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A43" w:rsidRDefault="0017031C" w:rsidP="00B128D0">
    <w:pPr>
      <w:pStyle w:val="Footer"/>
      <w:jc w:val="center"/>
      <w:rPr>
        <w:rtl/>
      </w:rPr>
    </w:pPr>
    <w:r>
      <w:fldChar w:fldCharType="begin"/>
    </w:r>
    <w:r w:rsidR="006D611C">
      <w:instrText xml:space="preserve"> PAGE   \* MERGEFORMAT </w:instrText>
    </w:r>
    <w:r>
      <w:fldChar w:fldCharType="separate"/>
    </w:r>
    <w:r w:rsidR="0069742D">
      <w:rPr>
        <w:noProof/>
        <w:rtl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EC1" w:rsidRDefault="00131EC1" w:rsidP="009540A1">
      <w:pPr>
        <w:spacing w:after="0" w:line="240" w:lineRule="auto"/>
      </w:pPr>
      <w:r>
        <w:separator/>
      </w:r>
    </w:p>
  </w:footnote>
  <w:footnote w:type="continuationSeparator" w:id="1">
    <w:p w:rsidR="00131EC1" w:rsidRDefault="00131EC1" w:rsidP="009540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1A43" w:rsidRDefault="006D611C" w:rsidP="00443B5C">
    <w:pPr>
      <w:pStyle w:val="Header"/>
      <w:tabs>
        <w:tab w:val="clear" w:pos="4153"/>
        <w:tab w:val="clear" w:pos="8306"/>
        <w:tab w:val="center" w:pos="1684"/>
        <w:tab w:val="left" w:pos="7117"/>
        <w:tab w:val="left" w:pos="7717"/>
      </w:tabs>
      <w:spacing w:line="276" w:lineRule="auto"/>
    </w:pPr>
    <w:r w:rsidRPr="00443B5C">
      <w:rPr>
        <w:sz w:val="20"/>
        <w:szCs w:val="20"/>
        <w:rtl/>
      </w:rPr>
      <w:tab/>
    </w:r>
    <w:r w:rsidRPr="00443B5C">
      <w:rPr>
        <w:rFonts w:hint="cs"/>
        <w:sz w:val="20"/>
        <w:szCs w:val="20"/>
        <w:rtl/>
      </w:rPr>
      <w:t xml:space="preserve">                                                                                                                       </w:t>
    </w:r>
    <w:r w:rsidRPr="00443B5C">
      <w:rPr>
        <w:sz w:val="20"/>
        <w:szCs w:val="20"/>
        <w:rtl/>
      </w:rPr>
      <w:t>.</w:t>
    </w:r>
    <w:r>
      <w:rPr>
        <w:rFonts w:hint="cs"/>
        <w:sz w:val="20"/>
        <w:szCs w:val="20"/>
        <w:rtl/>
      </w:rPr>
      <w:t xml:space="preserve">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540A1"/>
    <w:rsid w:val="00131EC1"/>
    <w:rsid w:val="0017031C"/>
    <w:rsid w:val="001B7FC0"/>
    <w:rsid w:val="0069742D"/>
    <w:rsid w:val="006D611C"/>
    <w:rsid w:val="00805AA2"/>
    <w:rsid w:val="00944FD4"/>
    <w:rsid w:val="009540A1"/>
    <w:rsid w:val="00CB46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462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540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9540A1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rsid w:val="009540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540A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540A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1427</Characters>
  <Application>Microsoft Office Word</Application>
  <DocSecurity>0</DocSecurity>
  <Lines>11</Lines>
  <Paragraphs>3</Paragraphs>
  <ScaleCrop>false</ScaleCrop>
  <Company>Microsoft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2016-10-28T10:40:00Z</dcterms:created>
  <dcterms:modified xsi:type="dcterms:W3CDTF">2016-11-01T14:01:00Z</dcterms:modified>
</cp:coreProperties>
</file>