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747"/>
        </w:tabs>
        <w:bidi w:val="1"/>
        <w:jc w:val="center"/>
        <w:rPr>
          <w:rFonts w:ascii="Sakkal Majalla" w:cs="Sakkal Majalla" w:eastAsia="Sakkal Majalla" w:hAnsi="Sakkal Majalla"/>
          <w:color w:val="44546a"/>
          <w:sz w:val="96"/>
          <w:szCs w:val="96"/>
        </w:rPr>
      </w:pPr>
      <w:bookmarkStart w:colFirst="0" w:colLast="0" w:name="_gjdgxs" w:id="0"/>
      <w:bookmarkEnd w:id="0"/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خطة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تحسين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 </w:t>
      </w:r>
    </w:p>
    <w:p w:rsidR="00000000" w:rsidDel="00000000" w:rsidP="00000000" w:rsidRDefault="00000000" w:rsidRPr="00000000" w14:paraId="00000002">
      <w:pPr>
        <w:tabs>
          <w:tab w:val="left" w:leader="none" w:pos="6747"/>
        </w:tabs>
        <w:bidi w:val="1"/>
        <w:jc w:val="center"/>
        <w:rPr>
          <w:rFonts w:ascii="Sakkal Majalla" w:cs="Sakkal Majalla" w:eastAsia="Sakkal Majalla" w:hAnsi="Sakkal Majalla"/>
          <w:color w:val="44546a"/>
          <w:sz w:val="96"/>
          <w:szCs w:val="96"/>
        </w:rPr>
      </w:pP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نواتج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تعلم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الاختبارت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الوطنية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نافس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96"/>
          <w:szCs w:val="96"/>
          <w:rtl w:val="1"/>
        </w:rPr>
        <w:t xml:space="preserve">)</w:t>
      </w:r>
    </w:p>
    <w:p w:rsidR="00000000" w:rsidDel="00000000" w:rsidP="00000000" w:rsidRDefault="00000000" w:rsidRPr="00000000" w14:paraId="00000003">
      <w:pPr>
        <w:tabs>
          <w:tab w:val="left" w:leader="none" w:pos="6747"/>
        </w:tabs>
        <w:bidi w:val="1"/>
        <w:spacing w:after="120" w:before="120" w:lineRule="auto"/>
        <w:jc w:val="center"/>
        <w:rPr>
          <w:color w:val="44546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747"/>
        </w:tabs>
        <w:bidi w:val="1"/>
        <w:spacing w:after="120" w:before="120" w:lineRule="auto"/>
        <w:jc w:val="center"/>
        <w:rPr>
          <w:rFonts w:ascii="Sakkal Majalla" w:cs="Sakkal Majalla" w:eastAsia="Sakkal Majalla" w:hAnsi="Sakkal Majalla"/>
          <w:color w:val="44546a"/>
          <w:sz w:val="36"/>
          <w:szCs w:val="36"/>
        </w:rPr>
      </w:pP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اعداد</w:t>
      </w:r>
    </w:p>
    <w:p w:rsidR="00000000" w:rsidDel="00000000" w:rsidP="00000000" w:rsidRDefault="00000000" w:rsidRPr="00000000" w14:paraId="00000005">
      <w:pPr>
        <w:tabs>
          <w:tab w:val="left" w:leader="none" w:pos="6747"/>
        </w:tabs>
        <w:bidi w:val="1"/>
        <w:spacing w:after="120" w:before="120" w:lineRule="auto"/>
        <w:jc w:val="center"/>
        <w:rPr>
          <w:rFonts w:ascii="Sakkal Majalla" w:cs="Sakkal Majalla" w:eastAsia="Sakkal Majalla" w:hAnsi="Sakkal Majalla"/>
          <w:color w:val="44546a"/>
          <w:sz w:val="36"/>
          <w:szCs w:val="36"/>
        </w:rPr>
      </w:pP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عايض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عبدالله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القحطاني</w:t>
      </w:r>
    </w:p>
    <w:p w:rsidR="00000000" w:rsidDel="00000000" w:rsidP="00000000" w:rsidRDefault="00000000" w:rsidRPr="00000000" w14:paraId="00000006">
      <w:pPr>
        <w:tabs>
          <w:tab w:val="left" w:leader="none" w:pos="6747"/>
        </w:tabs>
        <w:bidi w:val="1"/>
        <w:spacing w:after="120" w:before="120" w:lineRule="auto"/>
        <w:jc w:val="center"/>
        <w:rPr>
          <w:rFonts w:ascii="Sakkal Majalla" w:cs="Sakkal Majalla" w:eastAsia="Sakkal Majalla" w:hAnsi="Sakkal Majalla"/>
          <w:color w:val="44546a"/>
          <w:sz w:val="36"/>
          <w:szCs w:val="36"/>
        </w:rPr>
      </w:pP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مكتب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بالعليا</w:t>
      </w:r>
    </w:p>
    <w:p w:rsidR="00000000" w:rsidDel="00000000" w:rsidP="00000000" w:rsidRDefault="00000000" w:rsidRPr="00000000" w14:paraId="00000007">
      <w:pPr>
        <w:tabs>
          <w:tab w:val="left" w:leader="none" w:pos="6747"/>
        </w:tabs>
        <w:bidi w:val="1"/>
        <w:spacing w:after="120" w:before="120" w:lineRule="auto"/>
        <w:jc w:val="center"/>
        <w:rPr>
          <w:rFonts w:ascii="Sakkal Majalla" w:cs="Sakkal Majalla" w:eastAsia="Sakkal Majalla" w:hAnsi="Sakkal Majalla"/>
          <w:color w:val="44546a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1446</w:t>
      </w:r>
      <w:r w:rsidDel="00000000" w:rsidR="00000000" w:rsidRPr="00000000">
        <w:rPr>
          <w:rFonts w:ascii="Sakkal Majalla" w:cs="Sakkal Majalla" w:eastAsia="Sakkal Majalla" w:hAnsi="Sakkal Majalla"/>
          <w:color w:val="44546a"/>
          <w:sz w:val="36"/>
          <w:szCs w:val="36"/>
          <w:rtl w:val="1"/>
        </w:rPr>
        <w:t xml:space="preserve">هـ</w:t>
      </w:r>
    </w:p>
    <w:p w:rsidR="00000000" w:rsidDel="00000000" w:rsidP="00000000" w:rsidRDefault="00000000" w:rsidRPr="00000000" w14:paraId="00000008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rPr>
          <w:rFonts w:ascii="Sakkal Majalla" w:cs="Sakkal Majalla" w:eastAsia="Sakkal Majalla" w:hAnsi="Sakkal Majalla"/>
          <w:b w:val="1"/>
          <w:color w:val="44546a"/>
          <w:sz w:val="48"/>
          <w:szCs w:val="48"/>
        </w:rPr>
      </w:pPr>
      <w:r w:rsidDel="00000000" w:rsidR="00000000" w:rsidRPr="00000000">
        <w:rPr>
          <w:color w:val="4f7071"/>
          <w:sz w:val="116"/>
          <w:szCs w:val="1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posOffset>-1838324</wp:posOffset>
            </wp:positionV>
            <wp:extent cx="1839007" cy="1034415"/>
            <wp:effectExtent b="0" l="0" r="0" t="0"/>
            <wp:wrapSquare wrapText="bothSides" distB="0" distT="0" distL="114300" distR="11430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007" cy="1034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الهدف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العام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تحسين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نواتج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تعلم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الاختبارات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نافس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).</w:t>
      </w:r>
    </w:p>
    <w:p w:rsidR="00000000" w:rsidDel="00000000" w:rsidP="00000000" w:rsidRDefault="00000000" w:rsidRPr="00000000" w14:paraId="0000000B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rPr>
          <w:rFonts w:ascii="Sakkal Majalla" w:cs="Sakkal Majalla" w:eastAsia="Sakkal Majalla" w:hAnsi="Sakkal Majalla"/>
          <w:b w:val="1"/>
          <w:color w:val="44546a"/>
          <w:sz w:val="48"/>
          <w:szCs w:val="4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الأهداف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التفصيلية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زيادة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فعالية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الإجراءات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التعليمية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؛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لتحسن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نواتج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للاختبارات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نافس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توعية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بأهمية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المشاركة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تحسين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نواتج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للاختبارات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نافس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تهيئة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الطلاب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للمشاركة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الاختبارات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والدولية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تحسين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عمليات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التدريس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واستخدام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استراتيجيات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يضمن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نواتج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تعلم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المواد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المستهدفة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متابعة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الطلاب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وأدائهم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يتعلق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بالأهداف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المحددة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للمواد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مستهدفة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ec5585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تبادل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الممارسات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التدريسية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لرفع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المستوى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التحصيلي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rPr>
          <w:rFonts w:ascii="Sakkal Majalla" w:cs="Sakkal Majalla" w:eastAsia="Sakkal Majalla" w:hAnsi="Sakkal Majalla"/>
          <w:b w:val="1"/>
          <w:color w:val="ec558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firstLine="0"/>
        <w:jc w:val="center"/>
        <w:rPr>
          <w:rFonts w:ascii="Sakkal Majalla" w:cs="Sakkal Majalla" w:eastAsia="Sakkal Majalla" w:hAnsi="Sakkal Majalla"/>
          <w:b w:val="1"/>
          <w:color w:val="44546a"/>
          <w:sz w:val="48"/>
          <w:szCs w:val="4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خطة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تحسين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نواتج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الاختبارات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الوطنية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نافس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معلمو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المواد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المستهدفة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3264.999999999998" w:type="dxa"/>
        <w:jc w:val="center"/>
        <w:tblBorders>
          <w:top w:color="3c9a88" w:space="0" w:sz="6" w:val="single"/>
          <w:left w:color="3c9a88" w:space="0" w:sz="6" w:val="single"/>
          <w:bottom w:color="3c9a88" w:space="0" w:sz="6" w:val="single"/>
          <w:right w:color="3c9a88" w:space="0" w:sz="6" w:val="single"/>
          <w:insideH w:color="3c9a88" w:space="0" w:sz="6" w:val="single"/>
          <w:insideV w:color="3c9a88" w:space="0" w:sz="6" w:val="single"/>
        </w:tblBorders>
        <w:tblLayout w:type="fixed"/>
        <w:tblLook w:val="0400"/>
      </w:tblPr>
      <w:tblGrid>
        <w:gridCol w:w="863"/>
        <w:gridCol w:w="6285"/>
        <w:gridCol w:w="1173"/>
        <w:gridCol w:w="1173"/>
        <w:gridCol w:w="1173"/>
        <w:gridCol w:w="2598"/>
        <w:tblGridChange w:id="0">
          <w:tblGrid>
            <w:gridCol w:w="863"/>
            <w:gridCol w:w="6285"/>
            <w:gridCol w:w="1173"/>
            <w:gridCol w:w="1173"/>
            <w:gridCol w:w="1173"/>
            <w:gridCol w:w="2598"/>
          </w:tblGrid>
        </w:tblGridChange>
      </w:tblGrid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4"/>
                <w:szCs w:val="24"/>
                <w:rtl w:val="1"/>
              </w:rPr>
              <w:t xml:space="preserve">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32"/>
                <w:szCs w:val="32"/>
                <w:rtl w:val="1"/>
              </w:rPr>
              <w:t xml:space="preserve">المتابعة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الإنجاز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الرئيسة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تخصصه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ومسؤولياته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الصادرة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معلمو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رياضيات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علوم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القراءة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)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نافس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بمعدل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5%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الأساس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لدورة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(2024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تصميم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حديثة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ومتنوعة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والإبداع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3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مرحلي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المتنوعة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استيعابهم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لردم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فجوات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داعمة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المتقدمين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ً.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فصليا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ً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4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والدولية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الاختبارات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5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التكليفات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الضوابط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وتصحيحها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لفهمها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6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بناءة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منتظم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تتوافق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؛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7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حصتين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أسبوعيا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المتوسطة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(5)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للصفوف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(5-10)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للصفوف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العليا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بواقع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يوميا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والخط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العربي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والقراءات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اسبوعيا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ً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8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أسبوعيا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مادتي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والعلوم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المرحلتين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والمتوسطة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الصادرة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للمادتين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اسبوعيا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ً 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jc w:val="center"/>
        <w:rPr>
          <w:rFonts w:ascii="Sakkal Majalla" w:cs="Sakkal Majalla" w:eastAsia="Sakkal Majalla" w:hAnsi="Sakkal Majalla"/>
          <w:b w:val="1"/>
          <w:color w:val="ec5585"/>
          <w:sz w:val="36"/>
          <w:szCs w:val="3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خطة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تحسين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نواتج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تعلم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الاختبارات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الوطنية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نافس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التشكيلات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المدرسية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)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-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وكيل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-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الموجه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36"/>
          <w:szCs w:val="36"/>
          <w:rtl w:val="1"/>
        </w:rPr>
        <w:t xml:space="preserve">الطلابي</w:t>
      </w:r>
    </w:p>
    <w:p w:rsidR="00000000" w:rsidDel="00000000" w:rsidP="00000000" w:rsidRDefault="00000000" w:rsidRPr="00000000" w14:paraId="00000062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3264.999999999998" w:type="dxa"/>
        <w:jc w:val="center"/>
        <w:tblBorders>
          <w:top w:color="3c9a88" w:space="0" w:sz="6" w:val="single"/>
          <w:left w:color="3c9a88" w:space="0" w:sz="6" w:val="single"/>
          <w:bottom w:color="3c9a88" w:space="0" w:sz="6" w:val="single"/>
          <w:right w:color="3c9a88" w:space="0" w:sz="6" w:val="single"/>
          <w:insideH w:color="3c9a88" w:space="0" w:sz="6" w:val="single"/>
          <w:insideV w:color="3c9a88" w:space="0" w:sz="6" w:val="single"/>
        </w:tblBorders>
        <w:tblLayout w:type="fixed"/>
        <w:tblLook w:val="0400"/>
      </w:tblPr>
      <w:tblGrid>
        <w:gridCol w:w="863"/>
        <w:gridCol w:w="6285"/>
        <w:gridCol w:w="1173"/>
        <w:gridCol w:w="1403"/>
        <w:gridCol w:w="943"/>
        <w:gridCol w:w="2598"/>
        <w:tblGridChange w:id="0">
          <w:tblGrid>
            <w:gridCol w:w="863"/>
            <w:gridCol w:w="6285"/>
            <w:gridCol w:w="1173"/>
            <w:gridCol w:w="1403"/>
            <w:gridCol w:w="943"/>
            <w:gridCol w:w="2598"/>
          </w:tblGrid>
        </w:tblGridChange>
      </w:tblGrid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0"/>
                <w:szCs w:val="20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4"/>
                <w:szCs w:val="24"/>
                <w:rtl w:val="1"/>
              </w:rPr>
              <w:t xml:space="preserve">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32"/>
                <w:szCs w:val="32"/>
                <w:rtl w:val="1"/>
              </w:rPr>
              <w:t xml:space="preserve">المتابعة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الإنجاز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توصيل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المحتوى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وفعالية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المقيم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نافس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بمعدل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5%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الأساس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لدورة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(2024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فعالية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واتخاذ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حيالها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المقيم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3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يضمن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rtl w:val="1"/>
              </w:rPr>
              <w:t xml:space="preserve">المقيم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4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أدائهم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تطور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تحصيلهم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نتائجهم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دوري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تتطلب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التعليمية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التقويم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5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وتطور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تحصيلهم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الكامل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بدايتها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انتهائها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6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وأدائهم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7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للشؤون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8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الرسوب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تعلمهم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المحفزة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وتفسير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وجود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مقارنة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بيانية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العلاجي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الطلابي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9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نواتج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الرسوب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جدوى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المتخذة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الطلابي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10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الرسوب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واقتراح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اعتمادها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الطلابي</w:t>
            </w:r>
          </w:p>
        </w:tc>
        <w:tc>
          <w:tcPr>
            <w:tcBorders>
              <w:top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jc w:val="center"/>
        <w:rPr>
          <w:rFonts w:ascii="Sakkal Majalla" w:cs="Sakkal Majalla" w:eastAsia="Sakkal Majalla" w:hAnsi="Sakkal Majalla"/>
          <w:b w:val="1"/>
          <w:color w:val="ec5585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خطة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تحسين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نواتج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تعلم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الاختبارات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الوطنية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نافس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اللجان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المدرسية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لجنة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التحصيل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لجنة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التوجيه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الطلابي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لجنة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التمي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اللجنة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28"/>
          <w:szCs w:val="28"/>
          <w:rtl w:val="1"/>
        </w:rPr>
        <w:t xml:space="preserve">الإدارية</w:t>
      </w:r>
    </w:p>
    <w:tbl>
      <w:tblPr>
        <w:tblStyle w:val="Table3"/>
        <w:bidiVisual w:val="1"/>
        <w:tblW w:w="13264.999999999998" w:type="dxa"/>
        <w:jc w:val="center"/>
        <w:tblBorders>
          <w:top w:color="3c9a88" w:space="0" w:sz="6" w:val="single"/>
          <w:left w:color="3c9a88" w:space="0" w:sz="6" w:val="single"/>
          <w:bottom w:color="3c9a88" w:space="0" w:sz="6" w:val="single"/>
          <w:right w:color="3c9a88" w:space="0" w:sz="6" w:val="single"/>
          <w:insideH w:color="3c9a88" w:space="0" w:sz="6" w:val="single"/>
          <w:insideV w:color="3c9a88" w:space="0" w:sz="6" w:val="single"/>
        </w:tblBorders>
        <w:tblLayout w:type="fixed"/>
        <w:tblLook w:val="0400"/>
      </w:tblPr>
      <w:tblGrid>
        <w:gridCol w:w="863"/>
        <w:gridCol w:w="6285"/>
        <w:gridCol w:w="1584"/>
        <w:gridCol w:w="1417"/>
        <w:gridCol w:w="1276"/>
        <w:gridCol w:w="1840"/>
        <w:tblGridChange w:id="0">
          <w:tblGrid>
            <w:gridCol w:w="863"/>
            <w:gridCol w:w="6285"/>
            <w:gridCol w:w="1584"/>
            <w:gridCol w:w="1417"/>
            <w:gridCol w:w="1276"/>
            <w:gridCol w:w="1840"/>
          </w:tblGrid>
        </w:tblGridChange>
      </w:tblGrid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4"/>
                <w:szCs w:val="24"/>
                <w:rtl w:val="1"/>
              </w:rPr>
              <w:t xml:space="preserve">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32"/>
                <w:szCs w:val="32"/>
                <w:rtl w:val="1"/>
              </w:rPr>
              <w:t xml:space="preserve">المتابعة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الإنجاز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دوري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وتحليله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لدورة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نافس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الجوانب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ورفعها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لمناقشتها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الإدارية</w:t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الدراسي</w:t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نافس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بمعدل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5%</w:t>
            </w:r>
          </w:p>
          <w:p w:rsidR="00000000" w:rsidDel="00000000" w:rsidP="00000000" w:rsidRDefault="00000000" w:rsidRPr="00000000" w14:paraId="000000C3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الأساس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لدورة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(2024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C4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6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بشأنها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C7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C8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9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CB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3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C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المقترحات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الضعف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CE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F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D1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4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2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والأسس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والآليات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تبنى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والدولية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والدولية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D3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D4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5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التقويم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D7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5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8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إثرائية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يترتب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تعويض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فراغات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جداول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يكمل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أنصبتهم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الرسمية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يخل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D9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الطلابي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DA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الطلاب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B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DD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6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E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تبادل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أفضل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واقتراح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طرق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DF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التمي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ز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E0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E1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E3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7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E4">
            <w:pPr>
              <w:tabs>
                <w:tab w:val="left" w:leader="none" w:pos="638"/>
              </w:tabs>
              <w:bidi w:val="1"/>
              <w:spacing w:after="0" w:line="240" w:lineRule="auto"/>
              <w:jc w:val="both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والدولية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E5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الإدارية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E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E7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صدور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بطاقات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bidi w:val="1"/>
        <w:spacing w:after="0" w:line="240" w:lineRule="auto"/>
        <w:rPr>
          <w:rFonts w:ascii="Sakkal Majalla" w:cs="Sakkal Majalla" w:eastAsia="Sakkal Majalla" w:hAnsi="Sakkal Majalla"/>
          <w:color w:val="ff0000"/>
          <w:sz w:val="52"/>
          <w:szCs w:val="52"/>
        </w:rPr>
      </w:pPr>
      <w:r w:rsidDel="00000000" w:rsidR="00000000" w:rsidRPr="00000000">
        <w:rPr>
          <w:rFonts w:ascii="Sakkal Majalla" w:cs="Sakkal Majalla" w:eastAsia="Sakkal Majalla" w:hAnsi="Sakkal Majalla"/>
          <w:color w:val="ff0000"/>
          <w:sz w:val="52"/>
          <w:szCs w:val="52"/>
          <w:rtl w:val="1"/>
        </w:rPr>
        <w:t xml:space="preserve">نظام</w:t>
      </w:r>
      <w:r w:rsidDel="00000000" w:rsidR="00000000" w:rsidRPr="00000000">
        <w:rPr>
          <w:rFonts w:ascii="Sakkal Majalla" w:cs="Sakkal Majalla" w:eastAsia="Sakkal Majalla" w:hAnsi="Sakkal Majalla"/>
          <w:color w:val="ff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ff0000"/>
          <w:sz w:val="52"/>
          <w:szCs w:val="52"/>
          <w:rtl w:val="1"/>
        </w:rPr>
        <w:t xml:space="preserve">المتابعة</w:t>
      </w:r>
      <w:r w:rsidDel="00000000" w:rsidR="00000000" w:rsidRPr="00000000">
        <w:rPr>
          <w:rFonts w:ascii="Sakkal Majalla" w:cs="Sakkal Majalla" w:eastAsia="Sakkal Majalla" w:hAnsi="Sakkal Majalla"/>
          <w:color w:val="ff0000"/>
          <w:sz w:val="52"/>
          <w:szCs w:val="52"/>
          <w:rtl w:val="1"/>
        </w:rPr>
        <w:t xml:space="preserve">:</w:t>
      </w:r>
    </w:p>
    <w:tbl>
      <w:tblPr>
        <w:tblStyle w:val="Table4"/>
        <w:bidiVisual w:val="1"/>
        <w:tblW w:w="15641.000000000002" w:type="dxa"/>
        <w:jc w:val="center"/>
        <w:tblBorders>
          <w:top w:color="3c9a88" w:space="0" w:sz="6" w:val="single"/>
          <w:left w:color="3c9a88" w:space="0" w:sz="6" w:val="single"/>
          <w:bottom w:color="3c9a88" w:space="0" w:sz="6" w:val="single"/>
          <w:right w:color="3c9a88" w:space="0" w:sz="6" w:val="single"/>
          <w:insideH w:color="3c9a88" w:space="0" w:sz="6" w:val="single"/>
          <w:insideV w:color="3c9a88" w:space="0" w:sz="6" w:val="single"/>
        </w:tblBorders>
        <w:tblLayout w:type="fixed"/>
        <w:tblLook w:val="0400"/>
      </w:tblPr>
      <w:tblGrid>
        <w:gridCol w:w="918"/>
        <w:gridCol w:w="4671"/>
        <w:gridCol w:w="1701"/>
        <w:gridCol w:w="992"/>
        <w:gridCol w:w="992"/>
        <w:gridCol w:w="1843"/>
        <w:gridCol w:w="2539"/>
        <w:gridCol w:w="1985"/>
        <w:tblGridChange w:id="0">
          <w:tblGrid>
            <w:gridCol w:w="918"/>
            <w:gridCol w:w="4671"/>
            <w:gridCol w:w="1701"/>
            <w:gridCol w:w="992"/>
            <w:gridCol w:w="992"/>
            <w:gridCol w:w="1843"/>
            <w:gridCol w:w="2539"/>
            <w:gridCol w:w="1985"/>
          </w:tblGrid>
        </w:tblGridChange>
      </w:tblGrid>
      <w:tr>
        <w:trPr>
          <w:cantSplit w:val="0"/>
          <w:trHeight w:val="468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EA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EB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EC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المدون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بالخطة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ED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EF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أسباب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F0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المقترح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F1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التحقق</w:t>
            </w:r>
          </w:p>
        </w:tc>
      </w:tr>
      <w:tr>
        <w:trPr>
          <w:cantSplit w:val="0"/>
          <w:trHeight w:val="107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F5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نفذ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F6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ينفذ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0FA">
            <w:pPr>
              <w:tabs>
                <w:tab w:val="left" w:leader="none" w:pos="638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B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D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E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F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0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01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02">
            <w:pPr>
              <w:tabs>
                <w:tab w:val="left" w:leader="none" w:pos="638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3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4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5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7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8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09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0A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10B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D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E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F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10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11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113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14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15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1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17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19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1A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11B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1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1D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1E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1F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0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21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3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7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8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29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2A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C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leader="none" w:pos="6747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E">
            <w:pPr>
              <w:tabs>
                <w:tab w:val="left" w:leader="none" w:pos="6747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F">
            <w:pPr>
              <w:tabs>
                <w:tab w:val="left" w:leader="none" w:pos="6747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30">
            <w:pPr>
              <w:tabs>
                <w:tab w:val="left" w:leader="none" w:pos="6747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31">
            <w:pPr>
              <w:tabs>
                <w:tab w:val="left" w:leader="none" w:pos="6747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color w:val="4f7071"/>
          <w:sz w:val="116"/>
          <w:szCs w:val="1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7900670</wp:posOffset>
            </wp:positionH>
            <wp:positionV relativeFrom="margin">
              <wp:posOffset>-1720188</wp:posOffset>
            </wp:positionV>
            <wp:extent cx="1839007" cy="1034415"/>
            <wp:effectExtent b="0" l="0" r="0" t="0"/>
            <wp:wrapSquare wrapText="bothSides" distB="0" distT="0" distL="114300" distR="11430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007" cy="1034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color w:val="44546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color w:val="44546a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135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color w:val="44546a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١-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الدليل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التنظيمي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لمدارس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الأهداف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والمهام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) ٢٠٢1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136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color w:val="44546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bidi w:val="1"/>
        <w:spacing w:after="0" w:line="240" w:lineRule="auto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bidi w:val="1"/>
        <w:spacing w:after="0" w:line="168" w:lineRule="auto"/>
        <w:rPr>
          <w:rFonts w:ascii="Helvetica Neue" w:cs="Helvetica Neue" w:eastAsia="Helvetica Neue" w:hAnsi="Helvetica Neue"/>
          <w:color w:val="04a9a6"/>
          <w:sz w:val="72"/>
          <w:szCs w:val="72"/>
        </w:rPr>
      </w:pPr>
      <w:r w:rsidDel="00000000" w:rsidR="00000000" w:rsidRPr="00000000">
        <w:rPr>
          <w:color w:val="4f7071"/>
          <w:sz w:val="116"/>
          <w:szCs w:val="1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7898765</wp:posOffset>
            </wp:positionH>
            <wp:positionV relativeFrom="margin">
              <wp:posOffset>-1786888</wp:posOffset>
            </wp:positionV>
            <wp:extent cx="1839007" cy="1034415"/>
            <wp:effectExtent b="0" l="0" r="0" t="0"/>
            <wp:wrapSquare wrapText="bothSides" distB="0" distT="0" distL="114300" distR="11430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007" cy="1034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1134" w:top="851" w:left="851" w:right="964" w:header="1418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Helvetica Neue"/>
  <w:font w:name="Sakkal Majall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2457450</wp:posOffset>
              </wp:positionH>
              <wp:positionV relativeFrom="paragraph">
                <wp:posOffset>363071</wp:posOffset>
              </wp:positionV>
              <wp:extent cx="1222375" cy="335915"/>
              <wp:effectExtent b="0" l="0" r="0" t="0"/>
              <wp:wrapSquare wrapText="bothSides" distB="45720" distT="45720" distL="114300" distR="114300"/>
              <wp:docPr id="4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2237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3520" w:rsidDel="00000000" w:rsidP="00903520" w:rsidRDefault="00903520" w:rsidRPr="00903520" w14:paraId="7F2C2957" w14:textId="63E569A1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Del="00000000" w:rsidR="00000000" w:rsidRPr="0090352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Moe_000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2457450</wp:posOffset>
              </wp:positionH>
              <wp:positionV relativeFrom="paragraph">
                <wp:posOffset>363071</wp:posOffset>
              </wp:positionV>
              <wp:extent cx="1222375" cy="335915"/>
              <wp:effectExtent b="0" l="0" r="0" t="0"/>
              <wp:wrapSquare wrapText="bothSides" distB="45720" distT="45720" distL="114300" distR="114300"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237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-923025</wp:posOffset>
          </wp:positionH>
          <wp:positionV relativeFrom="paragraph">
            <wp:posOffset>0</wp:posOffset>
          </wp:positionV>
          <wp:extent cx="10713720" cy="1064260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3720" cy="10642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-555872</wp:posOffset>
          </wp:positionH>
          <wp:positionV relativeFrom="paragraph">
            <wp:posOffset>-182642</wp:posOffset>
          </wp:positionV>
          <wp:extent cx="7588097" cy="1064674"/>
          <wp:effectExtent b="0" l="0" r="0" t="0"/>
          <wp:wrapNone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1341120</wp:posOffset>
              </wp:positionH>
              <wp:positionV relativeFrom="paragraph">
                <wp:posOffset>-527684</wp:posOffset>
              </wp:positionV>
              <wp:extent cx="2274570" cy="967105"/>
              <wp:effectExtent b="4445" l="0" r="0" t="0"/>
              <wp:wrapSquare wrapText="bothSides" distB="45720" distT="45720" distL="114300" distR="114300"/>
              <wp:docPr id="6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5A81" w:rsidDel="00000000" w:rsidP="00095A81" w:rsidRDefault="00095A81" w:rsidRPr="00887F69" w14:paraId="2371FF9E" w14:textId="77777777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الإدارة العامة للتعليم</w:t>
                          </w:r>
                        </w:p>
                        <w:p w:rsidR="00095A81" w:rsidDel="00000000" w:rsidP="00095A81" w:rsidRDefault="00095A81" w:rsidRPr="00887F69" w14:paraId="67682152" w14:textId="77777777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بمنطقة</w:t>
                          </w:r>
                        </w:p>
                        <w:p w:rsidR="00095A81" w:rsidDel="00000000" w:rsidP="00095A81" w:rsidRDefault="00095A81" w:rsidRPr="00B90CC2" w14:paraId="20D32739" w14:textId="77777777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Del="00000000" w:rsidR="00000000" w:rsidRPr="00B90CC2"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  <w:rtl w:val="1"/>
                            </w:rPr>
                            <w:t>مكتب التعليم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1341120</wp:posOffset>
              </wp:positionH>
              <wp:positionV relativeFrom="paragraph">
                <wp:posOffset>-527684</wp:posOffset>
              </wp:positionV>
              <wp:extent cx="2274570" cy="971550"/>
              <wp:effectExtent b="0" l="0" r="0" t="0"/>
              <wp:wrapSquare wrapText="bothSides" distB="45720" distT="45720" distL="114300" distR="114300"/>
              <wp:docPr id="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457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-557337</wp:posOffset>
          </wp:positionH>
          <wp:positionV relativeFrom="paragraph">
            <wp:posOffset>-897782</wp:posOffset>
          </wp:positionV>
          <wp:extent cx="10713960" cy="1870701"/>
          <wp:effectExtent b="0" l="0" r="0" t="0"/>
          <wp:wrapNone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3960" cy="18707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-178434</wp:posOffset>
              </wp:positionH>
              <wp:positionV relativeFrom="paragraph">
                <wp:posOffset>-643254</wp:posOffset>
              </wp:positionV>
              <wp:extent cx="2274570" cy="1057275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1057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169E" w:rsidDel="00000000" w:rsidP="0065169E" w:rsidRDefault="0065169E" w:rsidRPr="0065169E" w14:paraId="6C1144AE" w14:textId="77777777">
                          <w:pPr>
                            <w:tabs>
                              <w:tab w:val="left" w:pos="638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center"/>
                            <w:textAlignment w:val="baseline"/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65169E"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  <w:t>المملكة العربية السعودية</w:t>
                          </w:r>
                        </w:p>
                        <w:p w:rsidR="0065169E" w:rsidDel="00000000" w:rsidP="0065169E" w:rsidRDefault="0065169E" w:rsidRPr="0065169E" w14:paraId="6D84A53E" w14:textId="08B97A8A">
                          <w:pPr>
                            <w:tabs>
                              <w:tab w:val="left" w:pos="638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center"/>
                            <w:textAlignment w:val="baseline"/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65169E"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  <w:t>وزارة التعليم</w:t>
                          </w:r>
                        </w:p>
                        <w:p w:rsidR="0065169E" w:rsidDel="00000000" w:rsidP="0065169E" w:rsidRDefault="0065169E" w:rsidRPr="0065169E" w14:paraId="14C43A3B" w14:textId="77777777">
                          <w:pPr>
                            <w:tabs>
                              <w:tab w:val="left" w:pos="638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center"/>
                            <w:textAlignment w:val="baseline"/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65169E"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  <w:t>الإدارة العامة للتعليم بمنطقة الرياض</w:t>
                          </w:r>
                        </w:p>
                        <w:p w:rsidR="0065169E" w:rsidDel="00000000" w:rsidP="0065169E" w:rsidRDefault="0065169E" w:rsidRPr="0065169E" w14:paraId="46FAA2E7" w14:textId="77777777">
                          <w:pPr>
                            <w:tabs>
                              <w:tab w:val="left" w:pos="638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center"/>
                            <w:textAlignment w:val="baseline"/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65169E"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  <w:t>مكتب التعليم بالعليا</w:t>
                          </w:r>
                        </w:p>
                        <w:p w:rsidR="0065169E" w:rsidDel="00000000" w:rsidP="0065169E" w:rsidRDefault="0065169E" w:rsidRPr="0065169E" w14:paraId="18485DF9" w14:textId="77777777">
                          <w:pPr>
                            <w:tabs>
                              <w:tab w:val="left" w:pos="638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baseline"/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65169E">
                            <w:rPr>
                              <w:rFonts w:ascii="Sakkal Majalla" w:cs="Sakkal Majalla" w:eastAsia="Times New Roman" w:hAnsi="Sakkal Majalla" w:hint="cs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  <w:t>مدرسة ......</w:t>
                          </w:r>
                        </w:p>
                        <w:p w:rsidR="001957FA" w:rsidDel="00000000" w:rsidP="0065169E" w:rsidRDefault="001957FA" w:rsidRPr="0065169E" w14:paraId="2FD3288B" w14:textId="1F7524CB">
                          <w:pPr>
                            <w:spacing w:after="0" w:line="168" w:lineRule="auto"/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-178434</wp:posOffset>
              </wp:positionH>
              <wp:positionV relativeFrom="paragraph">
                <wp:posOffset>-643254</wp:posOffset>
              </wp:positionV>
              <wp:extent cx="2274570" cy="1057275"/>
              <wp:effectExtent b="0" l="0" r="0" t="0"/>
              <wp:wrapSquare wrapText="bothSides" distB="45720" distT="45720" distL="114300" distR="11430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4570" cy="1057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5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5A81" w:rsidDel="00000000" w:rsidP="00095A81" w:rsidRDefault="00095A81" w:rsidRPr="00887F69" w14:paraId="5F9486C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اسم المدرسة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2745" cy="424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3332983</wp:posOffset>
              </wp:positionH>
              <wp:positionV relativeFrom="paragraph">
                <wp:posOffset>98737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7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57FA" w:rsidDel="00000000" w:rsidP="001957FA" w:rsidRDefault="0065169E" w:rsidRPr="0065169E" w14:paraId="2186A060" w14:textId="01F878CB">
                          <w:pPr>
                            <w:spacing w:after="0" w:line="240" w:lineRule="auto"/>
                            <w:jc w:val="center"/>
                            <w:rPr>
                              <w:rFonts w:ascii="Sakkal Majalla" w:cs="Sakkal Majalla" w:hAnsi="Sakkal Majall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65169E">
                            <w:rPr>
                              <w:rFonts w:ascii="Sakkal Majalla" w:cs="Sakkal Majalla" w:hAnsi="Sakkal Majalla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مدرسة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3332983</wp:posOffset>
              </wp:positionH>
              <wp:positionV relativeFrom="paragraph">
                <wp:posOffset>98737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7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2745" cy="424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-563879</wp:posOffset>
          </wp:positionH>
          <wp:positionV relativeFrom="paragraph">
            <wp:posOffset>-876934</wp:posOffset>
          </wp:positionV>
          <wp:extent cx="7591425" cy="1870710"/>
          <wp:effectExtent b="0" l="0" r="0" t="0"/>
          <wp:wrapNone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1341120</wp:posOffset>
              </wp:positionH>
              <wp:positionV relativeFrom="paragraph">
                <wp:posOffset>-527684</wp:posOffset>
              </wp:positionV>
              <wp:extent cx="2274570" cy="967105"/>
              <wp:effectExtent b="4445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7F69" w:rsidDel="00000000" w:rsidP="00887F69" w:rsidRDefault="00887F69" w:rsidRPr="00887F69" w14:paraId="166C7517" w14:textId="424933B5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الإدارة العامة للتعليم</w:t>
                          </w:r>
                        </w:p>
                        <w:p w:rsidR="00887F69" w:rsidDel="00000000" w:rsidP="00887F69" w:rsidRDefault="00887F69" w:rsidRPr="00887F69" w14:paraId="0D377C71" w14:textId="3DC73CF5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بمنطقة</w:t>
                          </w:r>
                        </w:p>
                        <w:p w:rsidR="00887F69" w:rsidDel="00000000" w:rsidP="00887F69" w:rsidRDefault="00887F69" w:rsidRPr="00A5666A" w14:paraId="34B0177C" w14:textId="0C317BDC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Del="00000000" w:rsidR="00000000" w:rsidRPr="00A5666A"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  <w:rtl w:val="1"/>
                            </w:rPr>
                            <w:t>مكتب التعليم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1341120</wp:posOffset>
              </wp:positionH>
              <wp:positionV relativeFrom="paragraph">
                <wp:posOffset>-527684</wp:posOffset>
              </wp:positionV>
              <wp:extent cx="2274570" cy="971550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457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119F" w:rsidDel="00000000" w:rsidP="00887F69" w:rsidRDefault="0057119F" w:rsidRPr="00887F69" w14:paraId="2EE40D0D" w14:textId="77777777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اسم المدرسة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2745" cy="424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Helvetica Neue" w:cs="Helvetica Neue" w:eastAsia="Helvetica Neue" w:hAnsi="Helvetica Neue"/>
      <w:color w:val="04a9a6"/>
      <w:sz w:val="28"/>
      <w:szCs w:val="28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8.png"/><Relationship Id="rId5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9.png"/><Relationship Id="rId3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